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46760" w14:paraId="0699F110" w14:textId="77777777">
        <w:tc>
          <w:tcPr>
            <w:tcW w:w="509" w:type="dxa"/>
          </w:tcPr>
          <w:p w14:paraId="11B4702E" w14:textId="77777777" w:rsidR="00546760" w:rsidRDefault="00EA0581">
            <w:pPr>
              <w:pStyle w:val="affff5"/>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24044BD" w14:textId="77777777" w:rsidR="00546760" w:rsidRDefault="00EA0581">
            <w:pPr>
              <w:pStyle w:val="affff5"/>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71.100.70</w:t>
            </w:r>
            <w:r>
              <w:rPr>
                <w:rFonts w:ascii="黑体" w:eastAsia="黑体" w:hAnsi="黑体"/>
                <w:sz w:val="21"/>
                <w:szCs w:val="21"/>
              </w:rPr>
              <w:fldChar w:fldCharType="end"/>
            </w:r>
            <w:bookmarkEnd w:id="0"/>
          </w:p>
        </w:tc>
      </w:tr>
      <w:tr w:rsidR="00546760" w14:paraId="10F3DAEA" w14:textId="77777777">
        <w:tc>
          <w:tcPr>
            <w:tcW w:w="509" w:type="dxa"/>
          </w:tcPr>
          <w:p w14:paraId="5AC1A397" w14:textId="77777777" w:rsidR="00546760" w:rsidRDefault="00EA0581">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1ADBB36" w14:textId="77777777" w:rsidR="00546760" w:rsidRDefault="00EA0581">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Y42</w:t>
            </w:r>
            <w:r>
              <w:rPr>
                <w:rFonts w:ascii="黑体" w:eastAsia="黑体" w:hAnsi="黑体"/>
                <w:sz w:val="21"/>
                <w:szCs w:val="21"/>
              </w:rPr>
              <w:fldChar w:fldCharType="end"/>
            </w:r>
            <w:bookmarkEnd w:id="1"/>
          </w:p>
        </w:tc>
      </w:tr>
    </w:tbl>
    <w:tbl>
      <w:tblPr>
        <w:tblStyle w:val="affffc"/>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546760" w14:paraId="11F68DD5" w14:textId="77777777">
        <w:trPr>
          <w:trHeight w:val="1128"/>
        </w:trPr>
        <w:tc>
          <w:tcPr>
            <w:tcW w:w="4990" w:type="dxa"/>
          </w:tcPr>
          <w:bookmarkStart w:id="2" w:name="_Hlk26473981"/>
          <w:p w14:paraId="762203BE" w14:textId="77777777" w:rsidR="00546760" w:rsidRDefault="00EA0581">
            <w:pPr>
              <w:pStyle w:val="afffff4"/>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t>QB</w:t>
            </w:r>
            <w:r>
              <w:fldChar w:fldCharType="end"/>
            </w:r>
            <w:bookmarkEnd w:id="3"/>
          </w:p>
        </w:tc>
      </w:tr>
    </w:tbl>
    <w:p w14:paraId="3AABD6F5" w14:textId="77777777" w:rsidR="00546760" w:rsidRDefault="00EA0581">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轻工</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14:paraId="6D623FC8" w14:textId="77777777" w:rsidR="00546760" w:rsidRDefault="00EA0581">
      <w:pPr>
        <w:pStyle w:val="affffffffff7"/>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D35C022" w14:textId="77777777" w:rsidR="00546760" w:rsidRDefault="00EA0581">
      <w:pPr>
        <w:pStyle w:val="affffffffff8"/>
        <w:framePr w:wrap="auto"/>
        <w:rPr>
          <w:rFonts w:hAnsi="黑体"/>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218C885" w14:textId="77777777" w:rsidR="00546760" w:rsidRDefault="00EA0581">
      <w:pPr>
        <w:spacing w:line="240" w:lineRule="auto"/>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D3E85CB" wp14:editId="529F7BF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E857EB1"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4BD16D02" w14:textId="77777777" w:rsidR="00546760" w:rsidRDefault="00546760">
      <w:pPr>
        <w:pStyle w:val="afffff5"/>
        <w:framePr w:w="9639" w:h="6976" w:hRule="exact" w:hSpace="0" w:vSpace="0" w:wrap="around" w:hAnchor="page" w:y="6408"/>
        <w:jc w:val="center"/>
        <w:rPr>
          <w:rFonts w:ascii="黑体" w:eastAsia="黑体" w:hAnsi="黑体"/>
          <w:b w:val="0"/>
          <w:bCs w:val="0"/>
          <w:w w:val="100"/>
          <w:lang w:val="fr-FR"/>
        </w:rPr>
      </w:pPr>
    </w:p>
    <w:p w14:paraId="3C4FC5A3" w14:textId="77777777" w:rsidR="00546760" w:rsidRDefault="00EA0581">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化妆品影响经表皮水分流失测试方法</w:t>
      </w:r>
      <w:r>
        <w:fldChar w:fldCharType="end"/>
      </w:r>
      <w:bookmarkEnd w:id="9"/>
    </w:p>
    <w:p w14:paraId="5B5DC4DF" w14:textId="77777777" w:rsidR="00546760" w:rsidRDefault="00546760">
      <w:pPr>
        <w:framePr w:w="9639" w:h="6974" w:hRule="exact" w:wrap="around" w:vAnchor="page" w:hAnchor="page" w:x="1419" w:y="6408" w:anchorLock="1"/>
        <w:ind w:left="-1418"/>
      </w:pPr>
    </w:p>
    <w:p w14:paraId="375683DE" w14:textId="77777777" w:rsidR="00546760" w:rsidRDefault="00EA0581">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Method for assessment of cosmetics on transepidermal water loss</w:t>
      </w:r>
      <w:r>
        <w:rPr>
          <w:rFonts w:eastAsia="黑体"/>
          <w:szCs w:val="28"/>
        </w:rPr>
        <w:fldChar w:fldCharType="end"/>
      </w:r>
      <w:bookmarkEnd w:id="10"/>
    </w:p>
    <w:p w14:paraId="0D0DA1DC" w14:textId="77777777" w:rsidR="00546760" w:rsidRDefault="00546760">
      <w:pPr>
        <w:framePr w:w="9639" w:h="6974" w:hRule="exact" w:wrap="around" w:vAnchor="page" w:hAnchor="page" w:x="1419" w:y="6408" w:anchorLock="1"/>
        <w:spacing w:line="760" w:lineRule="exact"/>
        <w:ind w:left="-1418"/>
      </w:pPr>
    </w:p>
    <w:p w14:paraId="5F072FF7" w14:textId="77777777" w:rsidR="00546760" w:rsidRDefault="00EA0581">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11"/>
    </w:p>
    <w:p w14:paraId="31C7F5AA" w14:textId="77777777" w:rsidR="00546760" w:rsidRDefault="00EA0581">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5B1F29">
        <w:rPr>
          <w:sz w:val="24"/>
          <w:szCs w:val="28"/>
        </w:rPr>
      </w:r>
      <w:r w:rsidR="005B1F29">
        <w:rPr>
          <w:sz w:val="24"/>
          <w:szCs w:val="28"/>
        </w:rPr>
        <w:fldChar w:fldCharType="separate"/>
      </w:r>
      <w:r>
        <w:rPr>
          <w:sz w:val="24"/>
          <w:szCs w:val="28"/>
        </w:rPr>
        <w:fldChar w:fldCharType="end"/>
      </w:r>
      <w:bookmarkEnd w:id="12"/>
    </w:p>
    <w:p w14:paraId="5F2859EA" w14:textId="77777777" w:rsidR="00546760" w:rsidRDefault="00EA0581">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2A0E5A13" w14:textId="77777777" w:rsidR="00546760" w:rsidRDefault="00EA0581">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5B1F29">
        <w:rPr>
          <w:b/>
          <w:sz w:val="21"/>
          <w:szCs w:val="28"/>
        </w:rPr>
      </w:r>
      <w:r w:rsidR="005B1F29">
        <w:rPr>
          <w:b/>
          <w:sz w:val="21"/>
          <w:szCs w:val="28"/>
        </w:rPr>
        <w:fldChar w:fldCharType="separate"/>
      </w:r>
      <w:r>
        <w:rPr>
          <w:b/>
          <w:sz w:val="21"/>
          <w:szCs w:val="28"/>
        </w:rPr>
        <w:fldChar w:fldCharType="end"/>
      </w:r>
      <w:bookmarkEnd w:id="14"/>
    </w:p>
    <w:p w14:paraId="03A24C3E" w14:textId="77777777" w:rsidR="00546760" w:rsidRDefault="00EA0581">
      <w:pPr>
        <w:pStyle w:val="affffffffff5"/>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0453A8FD" w14:textId="77777777" w:rsidR="00546760" w:rsidRDefault="00EA0581">
      <w:pPr>
        <w:pStyle w:val="affffffffff6"/>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1886A9CF" w14:textId="77777777" w:rsidR="00546760" w:rsidRDefault="00EA0581">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中华人民共和国工业和信息化部</w:t>
      </w:r>
      <w:r>
        <w:rPr>
          <w:rFonts w:hAnsi="黑体"/>
          <w:w w:val="100"/>
          <w:sz w:val="28"/>
        </w:rPr>
        <w:fldChar w:fldCharType="end"/>
      </w:r>
      <w:bookmarkEnd w:id="21"/>
      <w:r>
        <w:rPr>
          <w:rFonts w:ascii="Times New Roman"/>
          <w:w w:val="100"/>
          <w:sz w:val="28"/>
          <w:szCs w:val="28"/>
        </w:rPr>
        <w:t>  </w:t>
      </w:r>
      <w:r>
        <w:rPr>
          <w:rStyle w:val="afffffffffffe"/>
          <w:rFonts w:hAnsi="黑体" w:hint="eastAsia"/>
          <w:position w:val="0"/>
        </w:rPr>
        <w:t>发</w:t>
      </w:r>
      <w:r>
        <w:rPr>
          <w:rStyle w:val="afffffffffffe"/>
          <w:rFonts w:hAnsi="黑体" w:hint="eastAsia"/>
          <w:spacing w:val="0"/>
          <w:position w:val="0"/>
        </w:rPr>
        <w:t>布</w:t>
      </w:r>
    </w:p>
    <w:p w14:paraId="012D3103" w14:textId="77777777" w:rsidR="00546760" w:rsidRDefault="00EA0581">
      <w:pPr>
        <w:rPr>
          <w:rFonts w:ascii="宋体" w:hAnsi="宋体"/>
          <w:sz w:val="28"/>
          <w:szCs w:val="28"/>
        </w:rPr>
        <w:sectPr w:rsidR="00546760">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B645813" wp14:editId="6393AF7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2DF833A"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3DBDE627" w14:textId="77777777" w:rsidR="00546760" w:rsidRDefault="00EA0581">
      <w:pPr>
        <w:pStyle w:val="a6"/>
        <w:spacing w:after="360"/>
      </w:pPr>
      <w:bookmarkStart w:id="22" w:name="BookMark2"/>
      <w:r>
        <w:rPr>
          <w:spacing w:val="320"/>
        </w:rPr>
        <w:lastRenderedPageBreak/>
        <w:t>前</w:t>
      </w:r>
      <w:r>
        <w:t>言</w:t>
      </w:r>
    </w:p>
    <w:p w14:paraId="39334A80" w14:textId="77777777" w:rsidR="00546760" w:rsidRPr="00501E4B" w:rsidRDefault="00EA0581">
      <w:pPr>
        <w:pStyle w:val="afffffa"/>
        <w:ind w:firstLine="420"/>
        <w:rPr>
          <w:rFonts w:hAnsi="宋体"/>
          <w:szCs w:val="21"/>
        </w:rPr>
      </w:pPr>
      <w:r w:rsidRPr="00501E4B">
        <w:rPr>
          <w:rFonts w:hAnsi="宋体" w:hint="eastAsia"/>
          <w:szCs w:val="21"/>
        </w:rPr>
        <w:t>本文件按照GB/T 1.1—2020《标准化工作导则  第1部分：标准化文件的结构和起草规则》的规定起草。</w:t>
      </w:r>
    </w:p>
    <w:p w14:paraId="7FBDD7C1" w14:textId="77777777" w:rsidR="00546760" w:rsidRPr="00501E4B" w:rsidRDefault="00EA0581">
      <w:pPr>
        <w:pStyle w:val="afffffa"/>
        <w:ind w:firstLine="420"/>
        <w:rPr>
          <w:rFonts w:hAnsi="宋体"/>
          <w:szCs w:val="21"/>
        </w:rPr>
      </w:pPr>
      <w:r w:rsidRPr="00501E4B">
        <w:rPr>
          <w:rFonts w:hAnsi="宋体" w:hint="eastAsia"/>
          <w:szCs w:val="21"/>
        </w:rPr>
        <w:t>本文件由浙江经信委提出。</w:t>
      </w:r>
    </w:p>
    <w:p w14:paraId="310AFD5A" w14:textId="77777777" w:rsidR="00546760" w:rsidRPr="00501E4B" w:rsidRDefault="00EA0581">
      <w:pPr>
        <w:pStyle w:val="affffffffffff"/>
        <w:autoSpaceDE/>
        <w:rPr>
          <w:szCs w:val="21"/>
        </w:rPr>
      </w:pPr>
      <w:r w:rsidRPr="00501E4B">
        <w:rPr>
          <w:rFonts w:hint="eastAsia"/>
          <w:kern w:val="2"/>
          <w:szCs w:val="21"/>
        </w:rPr>
        <w:t>本文件由全国香料香精化妆品标准化技术委员会（SAC/TC 257）归口。</w:t>
      </w:r>
    </w:p>
    <w:p w14:paraId="0DA63174" w14:textId="47ABFA4A" w:rsidR="00546760" w:rsidRPr="00501E4B" w:rsidRDefault="00EA0581">
      <w:pPr>
        <w:pStyle w:val="afffffa"/>
        <w:ind w:firstLine="420"/>
        <w:rPr>
          <w:rFonts w:hAnsi="宋体"/>
          <w:szCs w:val="21"/>
        </w:rPr>
      </w:pPr>
      <w:r w:rsidRPr="00501E4B">
        <w:rPr>
          <w:rFonts w:hAnsi="宋体" w:hint="eastAsia"/>
          <w:szCs w:val="21"/>
        </w:rPr>
        <w:t>本文件起草单位：</w:t>
      </w:r>
      <w:r w:rsidR="00C54B56" w:rsidRPr="009F5B38">
        <w:rPr>
          <w:szCs w:val="21"/>
        </w:rPr>
        <w:t>珀莱雅</w:t>
      </w:r>
      <w:r w:rsidR="00C54B56" w:rsidRPr="009F5B38">
        <w:rPr>
          <w:rFonts w:hAnsi="宋体"/>
          <w:szCs w:val="21"/>
        </w:rPr>
        <w:t>化妆品股份有限公司</w:t>
      </w:r>
      <w:r w:rsidR="00C54B56" w:rsidRPr="009F5B38">
        <w:rPr>
          <w:rFonts w:hAnsi="宋体" w:hint="eastAsia"/>
          <w:szCs w:val="21"/>
        </w:rPr>
        <w:t>等多家单位共同起草</w:t>
      </w:r>
      <w:r w:rsidR="00C54B56" w:rsidRPr="009F5B38">
        <w:rPr>
          <w:rFonts w:hAnsi="宋体" w:cs="宋体" w:hint="eastAsia"/>
          <w:szCs w:val="21"/>
        </w:rPr>
        <w:t>。</w:t>
      </w:r>
    </w:p>
    <w:p w14:paraId="3BC3D4C1" w14:textId="77777777" w:rsidR="00546760" w:rsidRPr="00501E4B" w:rsidRDefault="00EA0581">
      <w:pPr>
        <w:pStyle w:val="afffffa"/>
        <w:ind w:firstLine="420"/>
        <w:rPr>
          <w:rFonts w:hAnsi="宋体"/>
          <w:szCs w:val="21"/>
        </w:rPr>
      </w:pPr>
      <w:r w:rsidRPr="00501E4B">
        <w:rPr>
          <w:rFonts w:hAnsi="宋体" w:hint="eastAsia"/>
          <w:szCs w:val="21"/>
        </w:rPr>
        <w:t>本文件主要起草人：</w:t>
      </w:r>
    </w:p>
    <w:p w14:paraId="62C5D0FE" w14:textId="77777777" w:rsidR="00546760" w:rsidRDefault="00546760">
      <w:pPr>
        <w:pStyle w:val="afffffa"/>
        <w:ind w:firstLine="420"/>
      </w:pPr>
    </w:p>
    <w:p w14:paraId="59EF9B28" w14:textId="77777777" w:rsidR="00546760" w:rsidRDefault="00546760">
      <w:pPr>
        <w:pStyle w:val="afffffa"/>
        <w:ind w:firstLine="420"/>
        <w:sectPr w:rsidR="00546760">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linePitch="312"/>
        </w:sectPr>
      </w:pPr>
    </w:p>
    <w:p w14:paraId="5820232C" w14:textId="77777777" w:rsidR="00546760" w:rsidRDefault="00546760">
      <w:pPr>
        <w:spacing w:line="20" w:lineRule="exact"/>
        <w:jc w:val="center"/>
        <w:rPr>
          <w:rFonts w:ascii="黑体" w:eastAsia="黑体" w:hAnsi="黑体"/>
          <w:sz w:val="32"/>
          <w:szCs w:val="32"/>
        </w:rPr>
      </w:pPr>
      <w:bookmarkStart w:id="23" w:name="BookMark4"/>
      <w:bookmarkEnd w:id="22"/>
    </w:p>
    <w:p w14:paraId="63F2406D" w14:textId="77777777" w:rsidR="00546760" w:rsidRDefault="00546760">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E08854B0CB5941BD9F5997C8C34AA702"/>
        </w:placeholder>
      </w:sdtPr>
      <w:sdtEndPr/>
      <w:sdtContent>
        <w:p w14:paraId="5F9E6F96" w14:textId="77777777" w:rsidR="00546760" w:rsidRDefault="00EA0581">
          <w:pPr>
            <w:pStyle w:val="afffffffffd"/>
            <w:spacing w:beforeLines="100" w:before="240" w:afterLines="220" w:after="528"/>
          </w:pPr>
          <w:r>
            <w:rPr>
              <w:rFonts w:hint="eastAsia"/>
            </w:rPr>
            <w:t>化妆品影响经表皮水分流失测试方法</w:t>
          </w:r>
        </w:p>
      </w:sdtContent>
    </w:sdt>
    <w:p w14:paraId="5C2BAD19" w14:textId="77777777" w:rsidR="00546760" w:rsidRDefault="00EA0581">
      <w:pPr>
        <w:pStyle w:val="afff1"/>
        <w:spacing w:before="240" w:after="240"/>
      </w:pPr>
      <w:bookmarkStart w:id="25" w:name="_Toc26986530"/>
      <w:bookmarkStart w:id="26" w:name="_Toc17233333"/>
      <w:bookmarkStart w:id="27" w:name="_Toc26648465"/>
      <w:bookmarkStart w:id="28" w:name="_Toc26986771"/>
      <w:bookmarkStart w:id="29" w:name="_Toc24884218"/>
      <w:bookmarkStart w:id="30" w:name="_Toc17233325"/>
      <w:bookmarkStart w:id="31" w:name="_Toc26718930"/>
      <w:bookmarkStart w:id="32" w:name="_Toc24884211"/>
      <w:bookmarkEnd w:id="24"/>
      <w:r>
        <w:rPr>
          <w:rFonts w:hint="eastAsia"/>
        </w:rPr>
        <w:t>范围</w:t>
      </w:r>
      <w:bookmarkEnd w:id="25"/>
      <w:bookmarkEnd w:id="26"/>
      <w:bookmarkEnd w:id="27"/>
      <w:bookmarkEnd w:id="28"/>
      <w:bookmarkEnd w:id="29"/>
      <w:bookmarkEnd w:id="30"/>
      <w:bookmarkEnd w:id="31"/>
      <w:bookmarkEnd w:id="32"/>
    </w:p>
    <w:p w14:paraId="129C8F99" w14:textId="77777777" w:rsidR="00546760" w:rsidRDefault="00EA0581">
      <w:pPr>
        <w:pStyle w:val="afffffa"/>
        <w:ind w:firstLine="420"/>
        <w:rPr>
          <w:kern w:val="2"/>
          <w:szCs w:val="24"/>
        </w:rPr>
      </w:pPr>
      <w:bookmarkStart w:id="33" w:name="_Toc24884212"/>
      <w:bookmarkStart w:id="34" w:name="_Toc26648466"/>
      <w:bookmarkStart w:id="35" w:name="_Toc24884219"/>
      <w:bookmarkStart w:id="36" w:name="_Toc17233334"/>
      <w:bookmarkStart w:id="37" w:name="_Toc17233326"/>
      <w:r>
        <w:rPr>
          <w:rFonts w:hint="eastAsia"/>
        </w:rPr>
        <w:t>本标准规定了化妆品影响经表皮水分流失的一种测试方法。</w:t>
      </w:r>
    </w:p>
    <w:p w14:paraId="1B3D8932" w14:textId="77777777" w:rsidR="00546760" w:rsidRDefault="00EA0581">
      <w:pPr>
        <w:pStyle w:val="afffffa"/>
        <w:ind w:firstLine="420"/>
      </w:pPr>
      <w:r>
        <w:rPr>
          <w:rFonts w:hint="eastAsia"/>
        </w:rPr>
        <w:t>本标准适用于护肤膏霜、护肤乳液、化妆水、护肤啫喱等化妆品对屏障受损皮肤的经表皮水分流失恢复过程影响的测试。</w:t>
      </w:r>
    </w:p>
    <w:p w14:paraId="22C507E0" w14:textId="77777777" w:rsidR="00546760" w:rsidRDefault="00EA0581">
      <w:pPr>
        <w:pStyle w:val="afff7"/>
      </w:pPr>
      <w:r>
        <w:rPr>
          <w:rFonts w:hint="eastAsia"/>
        </w:rPr>
        <w:t>化妆品原料影响经表皮水分流失测试可参照本方法。</w:t>
      </w:r>
    </w:p>
    <w:p w14:paraId="7BCBE580" w14:textId="77777777" w:rsidR="00546760" w:rsidRDefault="00EA0581">
      <w:pPr>
        <w:pStyle w:val="afff1"/>
        <w:spacing w:before="240" w:after="240"/>
      </w:pPr>
      <w:bookmarkStart w:id="38" w:name="_Toc26718931"/>
      <w:bookmarkStart w:id="39" w:name="_Toc26986772"/>
      <w:bookmarkStart w:id="40" w:name="_Toc269865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D1E7000923F04688AE0E63128F7B8E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8306A7E" w14:textId="77777777" w:rsidR="00546760" w:rsidRDefault="00EA0581">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723B83" w14:textId="77777777" w:rsidR="00546760" w:rsidRDefault="00EA0581">
      <w:pPr>
        <w:pStyle w:val="afffffa"/>
        <w:ind w:firstLine="420"/>
      </w:pPr>
      <w:r>
        <w:rPr>
          <w:rFonts w:hint="eastAsia"/>
        </w:rPr>
        <w:t>GB/T 6682  分析实验室用水规格和试验方法</w:t>
      </w:r>
    </w:p>
    <w:p w14:paraId="3D620554" w14:textId="77777777" w:rsidR="00546760" w:rsidRDefault="00EA0581">
      <w:pPr>
        <w:pStyle w:val="afffffa"/>
        <w:ind w:firstLine="420"/>
      </w:pPr>
      <w:r>
        <w:rPr>
          <w:rFonts w:hint="eastAsia"/>
        </w:rPr>
        <w:t>《化妆品安全技术规范》（2015版）</w:t>
      </w:r>
    </w:p>
    <w:p w14:paraId="74734134" w14:textId="77777777" w:rsidR="00546760" w:rsidRDefault="00EA0581">
      <w:pPr>
        <w:pStyle w:val="afff1"/>
        <w:spacing w:before="240" w:after="240"/>
      </w:pPr>
      <w:r>
        <w:rPr>
          <w:rFonts w:hint="eastAsia"/>
          <w:szCs w:val="21"/>
        </w:rPr>
        <w:t>术语和定义</w:t>
      </w:r>
    </w:p>
    <w:bookmarkStart w:id="41" w:name="_Toc26986532" w:displacedByCustomXml="next"/>
    <w:bookmarkEnd w:id="41" w:displacedByCustomXml="next"/>
    <w:sdt>
      <w:sdtPr>
        <w:id w:val="-1909835108"/>
        <w:placeholder>
          <w:docPart w:val="EB0E97C6EB6840EE83ED399BB1D860A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49951FE" w14:textId="77777777" w:rsidR="00546760" w:rsidRDefault="00EA0581">
          <w:pPr>
            <w:pStyle w:val="afffffa"/>
            <w:ind w:firstLine="420"/>
          </w:pPr>
          <w:r>
            <w:t>本文件没有需要界定的术语和定义。</w:t>
          </w:r>
        </w:p>
      </w:sdtContent>
    </w:sdt>
    <w:p w14:paraId="08EB388C" w14:textId="77777777" w:rsidR="00546760" w:rsidRDefault="00EA0581">
      <w:pPr>
        <w:pStyle w:val="afff1"/>
        <w:spacing w:before="240" w:after="240"/>
      </w:pPr>
      <w:r>
        <w:rPr>
          <w:rFonts w:hint="eastAsia"/>
        </w:rPr>
        <w:t>基本原则</w:t>
      </w:r>
    </w:p>
    <w:p w14:paraId="42E4F9F9" w14:textId="77777777" w:rsidR="00546760" w:rsidRDefault="00EA0581">
      <w:pPr>
        <w:pStyle w:val="afffffffff3"/>
      </w:pPr>
      <w:r>
        <w:rPr>
          <w:rFonts w:hint="eastAsia"/>
        </w:rPr>
        <w:t>化妆品人体功效评价检验应符合国际赫尔辛基宣言的基本原则，要求受试者签署知情同意书并采取必要的医学防护措施，最大程度地保护受试者的利益。</w:t>
      </w:r>
    </w:p>
    <w:p w14:paraId="65569840" w14:textId="77777777" w:rsidR="00546760" w:rsidRDefault="00EA0581">
      <w:pPr>
        <w:pStyle w:val="afffffffff3"/>
      </w:pPr>
      <w:r>
        <w:rPr>
          <w:rFonts w:hint="eastAsia"/>
        </w:rPr>
        <w:t>被测化妆品应为微生物学指标、有害物质限值和理化指标检验合格的产品，化妆品人体功效检验之前应先完成毒理学检验及人体皮肤斑贴试验，并出具书面证明，试验不合格的样品不再进行人体功效检验。其中毒理学检验和人体皮肤斑贴试验的检测方法及合格判断标准均按照《化妆品安全技术规范》中的要求执行。</w:t>
      </w:r>
    </w:p>
    <w:p w14:paraId="461BC470" w14:textId="77777777" w:rsidR="00546760" w:rsidRDefault="00EA0581">
      <w:pPr>
        <w:pStyle w:val="afffffffff3"/>
      </w:pPr>
      <w:r>
        <w:rPr>
          <w:rFonts w:hint="eastAsia"/>
        </w:rPr>
        <w:t>采用随机盲法对照试验。</w:t>
      </w:r>
    </w:p>
    <w:p w14:paraId="324BD9D3" w14:textId="77777777" w:rsidR="00546760" w:rsidRDefault="00EA0581">
      <w:pPr>
        <w:pStyle w:val="afff1"/>
        <w:spacing w:before="240" w:after="240"/>
      </w:pPr>
      <w:r>
        <w:rPr>
          <w:rFonts w:hint="eastAsia"/>
        </w:rPr>
        <w:t>原理</w:t>
      </w:r>
    </w:p>
    <w:p w14:paraId="22F04507" w14:textId="77777777" w:rsidR="00546760" w:rsidRDefault="00EA0581">
      <w:pPr>
        <w:pStyle w:val="afffffa"/>
        <w:ind w:firstLine="420"/>
        <w:rPr>
          <w:szCs w:val="21"/>
        </w:rPr>
      </w:pPr>
      <w:r>
        <w:rPr>
          <w:rFonts w:hint="eastAsia"/>
        </w:rPr>
        <w:t>基于菲克扩散定律，在规定的温湿度条件下，通过测量单位时间、单位横截面积，近表皮（近</w:t>
      </w:r>
      <w:r>
        <w:t>1</w:t>
      </w:r>
      <w:r>
        <w:rPr>
          <w:rFonts w:eastAsia="MS Mincho"/>
        </w:rPr>
        <w:t> </w:t>
      </w:r>
      <w:r>
        <w:t>cm</w:t>
      </w:r>
      <w:r>
        <w:rPr>
          <w:rFonts w:hint="eastAsia"/>
        </w:rPr>
        <w:t>以内）上不同点的水蒸气分压梯度，得到经表皮水分流失</w:t>
      </w:r>
      <w:r>
        <w:t>TEWL</w:t>
      </w:r>
      <w:r>
        <w:rPr>
          <w:rFonts w:hint="eastAsia"/>
        </w:rPr>
        <w:t>（</w:t>
      </w:r>
      <w:r>
        <w:t>Transepidermal Water Loss</w:t>
      </w:r>
      <w:r>
        <w:rPr>
          <w:rFonts w:hint="eastAsia"/>
        </w:rPr>
        <w:t>）值。</w:t>
      </w:r>
    </w:p>
    <w:p w14:paraId="7694DB0E" w14:textId="77777777" w:rsidR="00546760" w:rsidRDefault="00EA0581">
      <w:pPr>
        <w:pStyle w:val="afffffa"/>
        <w:ind w:firstLine="420"/>
      </w:pPr>
      <w:r>
        <w:rPr>
          <w:rFonts w:hint="eastAsia"/>
        </w:rPr>
        <w:t>菲克扩散定律见公式（</w:t>
      </w:r>
      <w:r>
        <w:t>1</w:t>
      </w:r>
      <w:r>
        <w:rPr>
          <w:rFonts w:hint="eastAsia"/>
        </w:rPr>
        <w:t>）。</w:t>
      </w:r>
    </w:p>
    <w:p w14:paraId="47A4AD29" w14:textId="77777777" w:rsidR="00546760" w:rsidRDefault="00546760">
      <w:pPr>
        <w:pStyle w:val="afffffa"/>
        <w:ind w:firstLine="420"/>
      </w:pPr>
    </w:p>
    <w:p w14:paraId="1393C827" w14:textId="77777777" w:rsidR="00546760" w:rsidRDefault="00EA0581">
      <w:pPr>
        <w:pStyle w:val="afffffff6"/>
      </w:pPr>
      <w:r>
        <w:tab/>
      </w:r>
      <m:oMath>
        <m:f>
          <m:fPr>
            <m:ctrlPr>
              <w:rPr>
                <w:rFonts w:ascii="Cambria Math" w:hAnsi="Cambria Math" w:cs="宋体"/>
                <w:i/>
                <w:sz w:val="24"/>
              </w:rPr>
            </m:ctrlPr>
          </m:fPr>
          <m:num>
            <m:r>
              <m:rPr>
                <m:nor/>
              </m:rPr>
              <w:rPr>
                <w:rFonts w:ascii="Cambria Math" w:hAnsi="Cambria Math"/>
              </w:rPr>
              <m:t>d</m:t>
            </m:r>
            <m:r>
              <m:rPr>
                <m:nor/>
              </m:rPr>
              <w:rPr>
                <w:rFonts w:ascii="Cambria Math" w:hAnsi="Cambria Math"/>
                <w:i/>
              </w:rPr>
              <m:t>m</m:t>
            </m:r>
          </m:num>
          <m:den>
            <m:r>
              <m:rPr>
                <m:nor/>
              </m:rPr>
              <w:rPr>
                <w:rFonts w:ascii="Cambria Math" w:hAnsi="Cambria Math"/>
              </w:rPr>
              <m:t>d</m:t>
            </m:r>
            <m:r>
              <m:rPr>
                <m:nor/>
              </m:rPr>
              <w:rPr>
                <w:rFonts w:ascii="Cambria Math" w:hAnsi="Cambria Math"/>
                <w:i/>
              </w:rPr>
              <m:t>t</m:t>
            </m:r>
          </m:den>
        </m:f>
        <m:r>
          <m:rPr>
            <m:nor/>
          </m:rPr>
          <w:rPr>
            <w:rFonts w:ascii="Cambria Math" w:hAnsi="Cambria Math"/>
          </w:rPr>
          <m:t>=-</m:t>
        </m:r>
        <m:r>
          <m:rPr>
            <m:nor/>
          </m:rPr>
          <w:rPr>
            <w:rFonts w:ascii="Cambria Math" w:hAnsi="Cambria Math"/>
            <w:i/>
          </w:rPr>
          <m:t>D</m:t>
        </m:r>
        <m:r>
          <m:rPr>
            <m:nor/>
          </m:rPr>
          <w:rPr>
            <w:rFonts w:ascii="Cambria Math" w:hAnsi="Cambria Math"/>
          </w:rPr>
          <m:t>∙</m:t>
        </m:r>
        <m:r>
          <m:rPr>
            <m:nor/>
          </m:rPr>
          <w:rPr>
            <w:rFonts w:ascii="Cambria Math" w:hAnsi="Cambria Math"/>
            <w:i/>
          </w:rPr>
          <m:t>A</m:t>
        </m:r>
        <m:r>
          <m:rPr>
            <m:nor/>
          </m:rPr>
          <w:rPr>
            <w:rFonts w:ascii="Cambria Math" w:hAnsi="Cambria Math"/>
          </w:rPr>
          <m:t>∙</m:t>
        </m:r>
        <m:f>
          <m:fPr>
            <m:ctrlPr>
              <w:rPr>
                <w:rFonts w:ascii="Cambria Math" w:hAnsi="Cambria Math" w:cs="宋体"/>
                <w:i/>
                <w:sz w:val="24"/>
              </w:rPr>
            </m:ctrlPr>
          </m:fPr>
          <m:num>
            <m:r>
              <m:rPr>
                <m:nor/>
              </m:rPr>
              <w:rPr>
                <w:rFonts w:ascii="Cambria Math" w:hAnsi="Cambria Math"/>
              </w:rPr>
              <m:t>d</m:t>
            </m:r>
            <m:r>
              <m:rPr>
                <m:nor/>
              </m:rPr>
              <w:rPr>
                <w:rFonts w:ascii="Cambria Math" w:hAnsi="Cambria Math"/>
                <w:i/>
              </w:rPr>
              <m:t>p</m:t>
            </m:r>
          </m:num>
          <m:den>
            <m:r>
              <m:rPr>
                <m:nor/>
              </m:rPr>
              <w:rPr>
                <w:rFonts w:ascii="Cambria Math" w:hAnsi="Cambria Math"/>
              </w:rPr>
              <m:t>d</m:t>
            </m:r>
            <m:r>
              <m:rPr>
                <m:nor/>
              </m:rPr>
              <w:rPr>
                <w:rFonts w:ascii="Cambria Math" w:hAnsi="Cambria Math"/>
                <w:i/>
              </w:rPr>
              <m:t>x</m:t>
            </m:r>
          </m:den>
        </m:f>
        <m:r>
          <w:rPr>
            <w:rFonts w:ascii="Cambria Math" w:hAnsi="Cambria Math"/>
          </w:rPr>
          <m:t xml:space="preserve"> </m:t>
        </m:r>
        <m:r>
          <w:rPr>
            <w:rFonts w:ascii="Cambria Math" w:hAnsi="Cambria Math"/>
            <w:szCs w:val="18"/>
          </w:rPr>
          <m:t xml:space="preserve">       </m:t>
        </m:r>
      </m:oMath>
      <w:r>
        <w:rPr>
          <w:rFonts w:ascii="Times New Roman"/>
        </w:rPr>
        <w:t xml:space="preserve"> </w:t>
      </w:r>
      <w:r>
        <w:rPr>
          <w:rFonts w:ascii="微软雅黑" w:eastAsia="微软雅黑"/>
        </w:rPr>
        <w:tab/>
      </w:r>
      <w:r>
        <w:t>(</w:t>
      </w:r>
      <w:r>
        <w:fldChar w:fldCharType="begin"/>
      </w:r>
      <w:r>
        <w:instrText xml:space="preserve"> AUTONUM </w:instrText>
      </w:r>
      <w:r>
        <w:fldChar w:fldCharType="end"/>
      </w:r>
      <w:r>
        <w:t>)</w:t>
      </w:r>
    </w:p>
    <w:p w14:paraId="277233DF" w14:textId="77777777" w:rsidR="00546760" w:rsidRDefault="00EA0581">
      <w:pPr>
        <w:pStyle w:val="afffff9"/>
        <w:ind w:firstLine="420"/>
      </w:pPr>
      <w:r>
        <w:rPr>
          <w:rFonts w:hint="eastAsia"/>
        </w:rPr>
        <w:t>式中：</w:t>
      </w:r>
    </w:p>
    <w:p w14:paraId="633CB239" w14:textId="77777777" w:rsidR="00546760" w:rsidRDefault="00EA0581">
      <w:pPr>
        <w:pStyle w:val="afffffa"/>
        <w:ind w:firstLine="420"/>
      </w:pPr>
      <w:r>
        <w:rPr>
          <w:i/>
        </w:rPr>
        <w:t>m</w:t>
      </w:r>
      <w:r>
        <w:rPr>
          <w:rFonts w:eastAsia="黑体"/>
        </w:rPr>
        <w:t>──</w:t>
      </w:r>
      <w:r>
        <w:rPr>
          <w:rFonts w:hint="eastAsia"/>
        </w:rPr>
        <w:t>水分流失量，单位为克（</w:t>
      </w:r>
      <w:r>
        <w:t>g</w:t>
      </w:r>
      <w:r>
        <w:rPr>
          <w:rFonts w:hint="eastAsia"/>
        </w:rPr>
        <w:t>）；</w:t>
      </w:r>
    </w:p>
    <w:p w14:paraId="2A8E2819" w14:textId="77777777" w:rsidR="00546760" w:rsidRDefault="00EA0581">
      <w:pPr>
        <w:pStyle w:val="afffffa"/>
        <w:ind w:firstLine="420"/>
      </w:pPr>
      <w:r>
        <w:rPr>
          <w:i/>
        </w:rPr>
        <w:t>t</w:t>
      </w:r>
      <w:r>
        <w:rPr>
          <w:rFonts w:eastAsia="黑体"/>
        </w:rPr>
        <w:t>──</w:t>
      </w:r>
      <w:r>
        <w:rPr>
          <w:rFonts w:hint="eastAsia"/>
        </w:rPr>
        <w:t>时间，单位为小时（</w:t>
      </w:r>
      <w:r>
        <w:t>h</w:t>
      </w:r>
      <w:r>
        <w:rPr>
          <w:rFonts w:hint="eastAsia"/>
        </w:rPr>
        <w:t>）；</w:t>
      </w:r>
      <w:r>
        <w:t xml:space="preserve"> </w:t>
      </w:r>
    </w:p>
    <w:p w14:paraId="2AA5166F" w14:textId="77777777" w:rsidR="00546760" w:rsidRDefault="00EA0581">
      <w:pPr>
        <w:pStyle w:val="afffffa"/>
        <w:ind w:firstLine="420"/>
      </w:pPr>
      <w:r>
        <w:rPr>
          <w:i/>
        </w:rPr>
        <w:t>D</w:t>
      </w:r>
      <w:r>
        <w:rPr>
          <w:rFonts w:eastAsia="黑体"/>
        </w:rPr>
        <w:t>──</w:t>
      </w:r>
      <w:r>
        <w:rPr>
          <w:rFonts w:hint="eastAsia"/>
        </w:rPr>
        <w:t>扩散常数，</w:t>
      </w:r>
      <w:r>
        <w:t>0.0877[</w:t>
      </w:r>
      <w:r>
        <w:rPr>
          <w:rFonts w:hint="eastAsia"/>
        </w:rPr>
        <w:t>克</w:t>
      </w:r>
      <w:r>
        <w:t>/</w:t>
      </w:r>
      <w:r>
        <w:rPr>
          <w:rFonts w:hint="eastAsia"/>
        </w:rPr>
        <w:t>（米</w:t>
      </w:r>
      <w:r>
        <w:t>·</w:t>
      </w:r>
      <w:r>
        <w:rPr>
          <w:rFonts w:hint="eastAsia"/>
        </w:rPr>
        <w:t>小时</w:t>
      </w:r>
      <w:r>
        <w:t>·</w:t>
      </w:r>
      <w:r>
        <w:rPr>
          <w:rFonts w:hint="eastAsia"/>
        </w:rPr>
        <w:t>毫米汞柱）</w:t>
      </w:r>
      <w:r>
        <w:t>][</w:t>
      </w:r>
      <w:r>
        <w:rPr>
          <w:rFonts w:hint="eastAsia"/>
        </w:rPr>
        <w:t>（</w:t>
      </w:r>
      <w:r>
        <w:t>g/m</w:t>
      </w:r>
      <w:r>
        <w:t>·</w:t>
      </w:r>
      <w:r>
        <w:t>h</w:t>
      </w:r>
      <w:r>
        <w:t>·</w:t>
      </w:r>
      <w:r>
        <w:t>mmHg</w:t>
      </w:r>
      <w:r>
        <w:rPr>
          <w:rFonts w:hint="eastAsia"/>
        </w:rPr>
        <w:t>）</w:t>
      </w:r>
      <w:r>
        <w:t>]</w:t>
      </w:r>
      <w:r>
        <w:rPr>
          <w:rFonts w:hint="eastAsia"/>
        </w:rPr>
        <w:t>；</w:t>
      </w:r>
    </w:p>
    <w:p w14:paraId="1A5A6184" w14:textId="77777777" w:rsidR="00546760" w:rsidRDefault="00EA0581">
      <w:pPr>
        <w:pStyle w:val="afffffa"/>
        <w:ind w:firstLine="420"/>
      </w:pPr>
      <w:r>
        <w:rPr>
          <w:i/>
        </w:rPr>
        <w:t>A</w:t>
      </w:r>
      <w:r>
        <w:rPr>
          <w:rFonts w:eastAsia="黑体"/>
        </w:rPr>
        <w:t>──</w:t>
      </w:r>
      <w:r>
        <w:rPr>
          <w:rFonts w:hint="eastAsia"/>
        </w:rPr>
        <w:t>测试横截面积，单位为平方米（</w:t>
      </w:r>
      <w:r>
        <w:t>m</w:t>
      </w:r>
      <w:r>
        <w:rPr>
          <w:vertAlign w:val="superscript"/>
        </w:rPr>
        <w:t>2</w:t>
      </w:r>
      <w:r>
        <w:rPr>
          <w:rFonts w:hint="eastAsia"/>
        </w:rPr>
        <w:t>）；</w:t>
      </w:r>
    </w:p>
    <w:p w14:paraId="185BB97B" w14:textId="77777777" w:rsidR="00546760" w:rsidRDefault="00EA0581">
      <w:pPr>
        <w:pStyle w:val="afffffa"/>
        <w:ind w:firstLine="420"/>
      </w:pPr>
      <w:r>
        <w:rPr>
          <w:i/>
        </w:rPr>
        <w:t>p</w:t>
      </w:r>
      <w:r>
        <w:rPr>
          <w:rFonts w:eastAsia="黑体"/>
        </w:rPr>
        <w:t>──</w:t>
      </w:r>
      <w:r>
        <w:rPr>
          <w:rFonts w:hint="eastAsia"/>
        </w:rPr>
        <w:t>水蒸气分压，单位为毫米汞柱（</w:t>
      </w:r>
      <w:r>
        <w:t>mmHg</w:t>
      </w:r>
      <w:r>
        <w:rPr>
          <w:rFonts w:hint="eastAsia"/>
        </w:rPr>
        <w:t>）；</w:t>
      </w:r>
    </w:p>
    <w:p w14:paraId="11E763D3" w14:textId="77777777" w:rsidR="00546760" w:rsidRDefault="00EA0581">
      <w:pPr>
        <w:pStyle w:val="afffffa"/>
        <w:ind w:firstLine="420"/>
      </w:pPr>
      <w:r>
        <w:rPr>
          <w:rFonts w:ascii="Times New Roman"/>
          <w:i/>
          <w:szCs w:val="21"/>
        </w:rPr>
        <w:t>x</w:t>
      </w:r>
      <w:r>
        <w:rPr>
          <w:rFonts w:eastAsia="黑体"/>
        </w:rPr>
        <w:t>──</w:t>
      </w:r>
      <w:r>
        <w:rPr>
          <w:rFonts w:hint="eastAsia"/>
        </w:rPr>
        <w:t>不同点温湿度传感器间距离，单位为米（</w:t>
      </w:r>
      <w:r>
        <w:t>m</w:t>
      </w:r>
      <w:r>
        <w:rPr>
          <w:rFonts w:hint="eastAsia"/>
        </w:rPr>
        <w:t>）。</w:t>
      </w:r>
    </w:p>
    <w:p w14:paraId="74ED5BB5" w14:textId="77777777" w:rsidR="00546760" w:rsidRDefault="00EA0581">
      <w:pPr>
        <w:pStyle w:val="afff7"/>
      </w:pPr>
      <w:r>
        <w:rPr>
          <w:rFonts w:hint="eastAsia"/>
        </w:rPr>
        <w:lastRenderedPageBreak/>
        <w:t>毫米汞柱为非法定计量单位，</w:t>
      </w:r>
      <w:r>
        <w:t>1mmHg = 133.32 Pa</w:t>
      </w:r>
      <w:r>
        <w:rPr>
          <w:rFonts w:hint="eastAsia"/>
        </w:rPr>
        <w:t>。</w:t>
      </w:r>
    </w:p>
    <w:p w14:paraId="50E42896" w14:textId="77777777" w:rsidR="00546760" w:rsidRDefault="00546760">
      <w:pPr>
        <w:pStyle w:val="afffffa"/>
        <w:ind w:firstLine="420"/>
      </w:pPr>
    </w:p>
    <w:p w14:paraId="5BF5E9D1" w14:textId="77777777" w:rsidR="00546760" w:rsidRDefault="00EA0581">
      <w:pPr>
        <w:pStyle w:val="afffffa"/>
        <w:ind w:firstLine="420"/>
      </w:pPr>
      <w:r>
        <w:rPr>
          <w:rFonts w:hint="eastAsia"/>
        </w:rPr>
        <w:t>在测试条件下，得到的</w:t>
      </w:r>
      <w:r>
        <w:t>TEWL</w:t>
      </w:r>
      <w:r>
        <w:rPr>
          <w:rFonts w:hint="eastAsia"/>
        </w:rPr>
        <w:t>值越高，代表单位时间、单位横截面积的经表皮水分流失量越多；</w:t>
      </w:r>
      <w:r>
        <w:t xml:space="preserve"> TEWL</w:t>
      </w:r>
      <w:r>
        <w:rPr>
          <w:rFonts w:hint="eastAsia"/>
        </w:rPr>
        <w:t>值越低，代表单位时间、单位横截面积的经表皮水分流失量越少。</w:t>
      </w:r>
    </w:p>
    <w:p w14:paraId="0417E347" w14:textId="77777777" w:rsidR="00546760" w:rsidRDefault="00EA0581">
      <w:pPr>
        <w:pStyle w:val="afff1"/>
        <w:spacing w:before="240" w:after="240"/>
      </w:pPr>
      <w:r>
        <w:rPr>
          <w:rFonts w:hint="eastAsia"/>
        </w:rPr>
        <w:t>试剂和材料</w:t>
      </w:r>
    </w:p>
    <w:p w14:paraId="2376C0EF" w14:textId="77777777" w:rsidR="00546760" w:rsidRDefault="00EA0581">
      <w:pPr>
        <w:pStyle w:val="afffffffff3"/>
      </w:pPr>
      <w:r>
        <w:rPr>
          <w:rFonts w:hint="eastAsia"/>
        </w:rPr>
        <w:t>实验室用水：采用</w:t>
      </w:r>
      <w:r>
        <w:t>GB/T 6682</w:t>
      </w:r>
      <w:r>
        <w:rPr>
          <w:rFonts w:hint="eastAsia"/>
        </w:rPr>
        <w:t>中的三级水。</w:t>
      </w:r>
    </w:p>
    <w:p w14:paraId="1DD455C3" w14:textId="77777777" w:rsidR="00546760" w:rsidRDefault="00EA0581">
      <w:pPr>
        <w:pStyle w:val="afffffffff3"/>
      </w:pPr>
      <w:r>
        <w:rPr>
          <w:rFonts w:hint="eastAsia"/>
        </w:rPr>
        <w:t>十二烷基硫酸钠：分析纯。</w:t>
      </w:r>
    </w:p>
    <w:p w14:paraId="75EAD182" w14:textId="77777777" w:rsidR="00546760" w:rsidRDefault="00EA0581">
      <w:pPr>
        <w:pStyle w:val="afffffffff3"/>
      </w:pPr>
      <w:r>
        <w:t>1%的</w:t>
      </w:r>
      <w:r>
        <w:rPr>
          <w:rFonts w:hint="eastAsia"/>
        </w:rPr>
        <w:t>十二烷基硫酸钠溶液：称取十二烷基硫酸钠（6</w:t>
      </w:r>
      <w:r>
        <w:t>.2</w:t>
      </w:r>
      <w:r>
        <w:rPr>
          <w:rFonts w:hint="eastAsia"/>
        </w:rPr>
        <w:t>）</w:t>
      </w:r>
      <w:r>
        <w:t>1.0</w:t>
      </w:r>
      <w:r>
        <w:t> </w:t>
      </w:r>
      <w:r>
        <w:t>g</w:t>
      </w:r>
      <w:r>
        <w:rPr>
          <w:rFonts w:hint="eastAsia"/>
        </w:rPr>
        <w:t>（精确到</w:t>
      </w:r>
      <w:r>
        <w:t>0.0001</w:t>
      </w:r>
      <w:r>
        <w:t> </w:t>
      </w:r>
      <w:r>
        <w:t>g</w:t>
      </w:r>
      <w:r>
        <w:rPr>
          <w:rFonts w:hint="eastAsia"/>
        </w:rPr>
        <w:t>），用</w:t>
      </w:r>
      <w:r>
        <w:t>99.0</w:t>
      </w:r>
      <w:r>
        <w:t> </w:t>
      </w:r>
      <w:r>
        <w:t>g</w:t>
      </w:r>
      <w:r>
        <w:rPr>
          <w:rFonts w:hint="eastAsia"/>
        </w:rPr>
        <w:t>水（6</w:t>
      </w:r>
      <w:r>
        <w:t>.1</w:t>
      </w:r>
      <w:r>
        <w:rPr>
          <w:rFonts w:hint="eastAsia"/>
        </w:rPr>
        <w:t>）溶解配成</w:t>
      </w:r>
      <w:r>
        <w:t>1%</w:t>
      </w:r>
      <w:r>
        <w:rPr>
          <w:rFonts w:hint="eastAsia"/>
        </w:rPr>
        <w:t>（</w:t>
      </w:r>
      <w:r>
        <w:t>w/w</w:t>
      </w:r>
      <w:r>
        <w:rPr>
          <w:rFonts w:hint="eastAsia"/>
        </w:rPr>
        <w:t>）的十二烷基硫酸钠溶液。</w:t>
      </w:r>
    </w:p>
    <w:p w14:paraId="4C7466DB" w14:textId="77777777" w:rsidR="00546760" w:rsidRDefault="00EA0581">
      <w:pPr>
        <w:pStyle w:val="afffffffff3"/>
      </w:pPr>
      <w:r>
        <w:rPr>
          <w:rFonts w:hint="eastAsia"/>
        </w:rPr>
        <w:t>斑试器：合格斑试器材（直径为</w:t>
      </w:r>
      <w:r>
        <w:t>18</w:t>
      </w:r>
      <w:r>
        <w:t> </w:t>
      </w:r>
      <w:r>
        <w:t>mm</w:t>
      </w:r>
      <w:r>
        <w:rPr>
          <w:rFonts w:hint="eastAsia"/>
        </w:rPr>
        <w:t>、深度为</w:t>
      </w:r>
      <w:r>
        <w:t>1.2</w:t>
      </w:r>
      <w:r>
        <w:t> </w:t>
      </w:r>
      <w:r>
        <w:t>mm</w:t>
      </w:r>
      <w:r>
        <w:rPr>
          <w:rFonts w:hint="eastAsia"/>
        </w:rPr>
        <w:t>）及相应</w:t>
      </w:r>
      <w:bookmarkStart w:id="42" w:name="_Hlk524559544"/>
      <w:r>
        <w:rPr>
          <w:rFonts w:hint="eastAsia"/>
        </w:rPr>
        <w:t>滤纸片</w:t>
      </w:r>
      <w:bookmarkEnd w:id="42"/>
      <w:r>
        <w:rPr>
          <w:rFonts w:hint="eastAsia"/>
        </w:rPr>
        <w:t>。</w:t>
      </w:r>
    </w:p>
    <w:p w14:paraId="289AB880" w14:textId="77777777" w:rsidR="00546760" w:rsidRDefault="00EA0581">
      <w:pPr>
        <w:pStyle w:val="afffffffff3"/>
      </w:pPr>
      <w:r>
        <w:rPr>
          <w:rFonts w:hint="eastAsia"/>
        </w:rPr>
        <w:t>无屑吸水干纸巾。</w:t>
      </w:r>
    </w:p>
    <w:p w14:paraId="52A4D147" w14:textId="77777777" w:rsidR="00546760" w:rsidRDefault="00EA0581">
      <w:pPr>
        <w:pStyle w:val="afff1"/>
        <w:spacing w:before="240" w:after="240"/>
      </w:pPr>
      <w:r>
        <w:rPr>
          <w:rFonts w:hint="eastAsia"/>
        </w:rPr>
        <w:t>仪器</w:t>
      </w:r>
    </w:p>
    <w:p w14:paraId="17FD7546" w14:textId="77777777" w:rsidR="00546760" w:rsidRDefault="00EA0581">
      <w:pPr>
        <w:pStyle w:val="afffffffff3"/>
      </w:pPr>
      <w:r>
        <w:rPr>
          <w:rFonts w:hint="eastAsia"/>
        </w:rPr>
        <w:t>开放室经表皮水分流失测试仪，如：</w:t>
      </w:r>
      <w:r>
        <w:t>Tewameter</w:t>
      </w:r>
      <w:r>
        <w:rPr>
          <w:rFonts w:hint="eastAsia"/>
        </w:rPr>
        <w:t>或相当者。</w:t>
      </w:r>
    </w:p>
    <w:p w14:paraId="7188C828" w14:textId="77777777" w:rsidR="00546760" w:rsidRDefault="00EA0581">
      <w:pPr>
        <w:pStyle w:val="afffffffff3"/>
      </w:pPr>
      <w:r>
        <w:rPr>
          <w:rFonts w:hint="eastAsia"/>
        </w:rPr>
        <w:t>分析天平：精度</w:t>
      </w:r>
      <w:r>
        <w:t>0.0001</w:t>
      </w:r>
      <w:r>
        <w:rPr>
          <w:rFonts w:eastAsia="MS Mincho"/>
        </w:rPr>
        <w:t> </w:t>
      </w:r>
      <w:r>
        <w:t>g</w:t>
      </w:r>
      <w:r>
        <w:rPr>
          <w:rFonts w:hint="eastAsia"/>
        </w:rPr>
        <w:t>。</w:t>
      </w:r>
    </w:p>
    <w:p w14:paraId="27739C8C" w14:textId="77777777" w:rsidR="00546760" w:rsidRDefault="00EA0581">
      <w:pPr>
        <w:pStyle w:val="afffffffff3"/>
      </w:pPr>
      <w:r>
        <w:rPr>
          <w:rFonts w:hint="eastAsia"/>
        </w:rPr>
        <w:t>单通道移液器：精度</w:t>
      </w:r>
      <w:r>
        <w:t>0.1</w:t>
      </w:r>
      <w:r>
        <w:rPr>
          <w:rFonts w:eastAsia="MS Mincho"/>
        </w:rPr>
        <w:t> </w:t>
      </w:r>
      <w:r>
        <w:t>µ</w:t>
      </w:r>
      <w:r>
        <w:t>L</w:t>
      </w:r>
      <w:r>
        <w:rPr>
          <w:rFonts w:hint="eastAsia"/>
        </w:rPr>
        <w:t>。</w:t>
      </w:r>
    </w:p>
    <w:p w14:paraId="19495DA2" w14:textId="77777777" w:rsidR="00546760" w:rsidRDefault="00EA0581">
      <w:pPr>
        <w:pStyle w:val="afff1"/>
        <w:spacing w:before="240" w:after="240"/>
      </w:pPr>
      <w:r>
        <w:rPr>
          <w:rFonts w:hint="eastAsia"/>
        </w:rPr>
        <w:t>试验条件和受试者要求</w:t>
      </w:r>
    </w:p>
    <w:p w14:paraId="2E99E13A" w14:textId="77777777" w:rsidR="00546760" w:rsidRDefault="00EA0581">
      <w:pPr>
        <w:pStyle w:val="afff2"/>
        <w:spacing w:before="120" w:after="120"/>
        <w:rPr>
          <w:szCs w:val="21"/>
        </w:rPr>
      </w:pPr>
      <w:r>
        <w:rPr>
          <w:rFonts w:hint="eastAsia"/>
        </w:rPr>
        <w:t>测试条件</w:t>
      </w:r>
    </w:p>
    <w:p w14:paraId="60622B96" w14:textId="77777777" w:rsidR="00546760" w:rsidRDefault="00EA0581">
      <w:pPr>
        <w:pStyle w:val="afffffffff6"/>
      </w:pPr>
      <w:r>
        <w:rPr>
          <w:rFonts w:hint="eastAsia"/>
        </w:rPr>
        <w:t>测试环境温度：</w:t>
      </w:r>
      <w:r>
        <w:t>20</w:t>
      </w:r>
      <w:r>
        <w:rPr>
          <w:rFonts w:eastAsia="MS Mincho"/>
        </w:rPr>
        <w:t> </w:t>
      </w:r>
      <w:r>
        <w:rPr>
          <w:color w:val="333333"/>
          <w:shd w:val="clear" w:color="auto" w:fill="FFFFFF"/>
        </w:rPr>
        <w:t>℃</w:t>
      </w:r>
      <w:r>
        <w:rPr>
          <w:rFonts w:eastAsiaTheme="minorEastAsia" w:hint="eastAsia"/>
        </w:rPr>
        <w:t>～</w:t>
      </w:r>
      <w:r>
        <w:t>22</w:t>
      </w:r>
      <w:r>
        <w:rPr>
          <w:rFonts w:eastAsia="MS Mincho"/>
        </w:rPr>
        <w:t> </w:t>
      </w:r>
      <w:r>
        <w:rPr>
          <w:color w:val="333333"/>
          <w:shd w:val="clear" w:color="auto" w:fill="FFFFFF"/>
        </w:rPr>
        <w:t>℃</w:t>
      </w:r>
      <w:r>
        <w:rPr>
          <w:rFonts w:hint="eastAsia"/>
        </w:rPr>
        <w:t>，相对湿度：</w:t>
      </w:r>
      <w:r>
        <w:t>40%</w:t>
      </w:r>
      <w:r>
        <w:rPr>
          <w:rFonts w:eastAsiaTheme="minorEastAsia" w:hint="eastAsia"/>
        </w:rPr>
        <w:t>～</w:t>
      </w:r>
      <w:r>
        <w:t>60%</w:t>
      </w:r>
      <w:r>
        <w:rPr>
          <w:rFonts w:hint="eastAsia"/>
        </w:rPr>
        <w:t>，并且进行实时动态监测。</w:t>
      </w:r>
    </w:p>
    <w:p w14:paraId="312EF834" w14:textId="77777777" w:rsidR="00546760" w:rsidRDefault="00EA0581">
      <w:pPr>
        <w:pStyle w:val="afffffffff6"/>
      </w:pPr>
      <w:r>
        <w:rPr>
          <w:rFonts w:hint="eastAsia"/>
        </w:rPr>
        <w:t>测试过程中的测试条件保持一致，如：测试者、场所、仪器等。</w:t>
      </w:r>
    </w:p>
    <w:p w14:paraId="71F4AD24" w14:textId="77777777" w:rsidR="00546760" w:rsidRDefault="00EA0581">
      <w:pPr>
        <w:pStyle w:val="afff2"/>
        <w:spacing w:before="120" w:after="120"/>
      </w:pPr>
      <w:r>
        <w:rPr>
          <w:rFonts w:hint="eastAsia"/>
        </w:rPr>
        <w:t>样品使用要求</w:t>
      </w:r>
    </w:p>
    <w:p w14:paraId="52A33E81" w14:textId="77777777" w:rsidR="00546760" w:rsidRDefault="00EA0581">
      <w:pPr>
        <w:pStyle w:val="afffffa"/>
        <w:ind w:firstLine="420"/>
      </w:pPr>
      <w:r>
        <w:rPr>
          <w:rFonts w:hint="eastAsia"/>
        </w:rPr>
        <w:t>提供的样品量应满足受试者累计使用量。提供《样品使用说明》，明确样品的使用方法（包括使用部位、使用方式、每次使用量、使用频次、注意事项等），并采取措施确保受试者按照要求使用。</w:t>
      </w:r>
    </w:p>
    <w:p w14:paraId="5BA1C197" w14:textId="77777777" w:rsidR="00546760" w:rsidRDefault="00EA0581">
      <w:pPr>
        <w:pStyle w:val="afff2"/>
        <w:spacing w:before="120" w:after="120"/>
      </w:pPr>
      <w:r>
        <w:rPr>
          <w:rFonts w:hint="eastAsia"/>
        </w:rPr>
        <w:t>受试者要求</w:t>
      </w:r>
    </w:p>
    <w:p w14:paraId="678C98D1" w14:textId="77777777" w:rsidR="00546760" w:rsidRDefault="00EA0581">
      <w:pPr>
        <w:pStyle w:val="afffffffff6"/>
      </w:pPr>
      <w:r>
        <w:rPr>
          <w:rFonts w:hint="eastAsia"/>
        </w:rPr>
        <w:t>受试者人数</w:t>
      </w:r>
    </w:p>
    <w:p w14:paraId="17CF7766" w14:textId="77777777" w:rsidR="00546760" w:rsidRDefault="00EA0581">
      <w:pPr>
        <w:pStyle w:val="afffffa"/>
        <w:ind w:firstLine="420"/>
      </w:pPr>
      <w:r>
        <w:rPr>
          <w:rFonts w:hint="eastAsia"/>
        </w:rPr>
        <w:t>确保人数设定有效例数不低于</w:t>
      </w:r>
      <w:r>
        <w:t xml:space="preserve"> 30 </w:t>
      </w:r>
      <w:r>
        <w:rPr>
          <w:rFonts w:hint="eastAsia"/>
        </w:rPr>
        <w:t>例。</w:t>
      </w:r>
    </w:p>
    <w:p w14:paraId="0D2445FF" w14:textId="77777777" w:rsidR="00546760" w:rsidRDefault="00EA0581">
      <w:pPr>
        <w:pStyle w:val="afffffffff6"/>
      </w:pPr>
      <w:r>
        <w:rPr>
          <w:rFonts w:hint="eastAsia"/>
        </w:rPr>
        <w:t>受试者要求</w:t>
      </w:r>
    </w:p>
    <w:p w14:paraId="439DF51E" w14:textId="77777777" w:rsidR="00546760" w:rsidRDefault="00EA0581">
      <w:pPr>
        <w:pStyle w:val="afffffffff5"/>
      </w:pPr>
      <w:r>
        <w:t>18</w:t>
      </w:r>
      <w:r>
        <w:rPr>
          <w:rFonts w:hint="eastAsia"/>
        </w:rPr>
        <w:t>岁</w:t>
      </w:r>
      <w:r>
        <w:rPr>
          <w:rFonts w:eastAsiaTheme="minorEastAsia" w:hint="eastAsia"/>
        </w:rPr>
        <w:t>～</w:t>
      </w:r>
      <w:r>
        <w:t>60</w:t>
      </w:r>
      <w:r>
        <w:rPr>
          <w:rFonts w:hint="eastAsia"/>
        </w:rPr>
        <w:t>岁符合试验要求的志愿者。</w:t>
      </w:r>
    </w:p>
    <w:p w14:paraId="1DD1638E" w14:textId="77777777" w:rsidR="00546760" w:rsidRDefault="00EA0581">
      <w:pPr>
        <w:pStyle w:val="afffffffff5"/>
        <w:rPr>
          <w:szCs w:val="21"/>
        </w:rPr>
      </w:pPr>
      <w:r>
        <w:rPr>
          <w:rFonts w:hint="eastAsia"/>
        </w:rPr>
        <w:t>不能选择有以下情况者作为受试者：</w:t>
      </w:r>
    </w:p>
    <w:p w14:paraId="04E50865" w14:textId="77777777" w:rsidR="00546760" w:rsidRDefault="00EA0581">
      <w:pPr>
        <w:pStyle w:val="afa"/>
      </w:pPr>
      <w:r>
        <w:rPr>
          <w:rFonts w:hint="eastAsia"/>
        </w:rPr>
        <w:t>近一周使用抗组胺药或近一个月使用过免疫抑制剂者；</w:t>
      </w:r>
    </w:p>
    <w:p w14:paraId="617FBAF2" w14:textId="77777777" w:rsidR="00546760" w:rsidRDefault="00EA0581">
      <w:pPr>
        <w:pStyle w:val="afa"/>
      </w:pPr>
      <w:r>
        <w:rPr>
          <w:rFonts w:hint="eastAsia"/>
        </w:rPr>
        <w:t>近两个月受试部位使用任何抗炎药物者；</w:t>
      </w:r>
    </w:p>
    <w:p w14:paraId="7C33AEDA" w14:textId="77777777" w:rsidR="00546760" w:rsidRDefault="00EA0581">
      <w:pPr>
        <w:pStyle w:val="afa"/>
      </w:pPr>
      <w:r>
        <w:rPr>
          <w:rFonts w:hint="eastAsia"/>
        </w:rPr>
        <w:t>受试者患有炎症性皮肤病临床未愈者；</w:t>
      </w:r>
    </w:p>
    <w:p w14:paraId="65C7D256" w14:textId="77777777" w:rsidR="00546760" w:rsidRDefault="00EA0581">
      <w:pPr>
        <w:pStyle w:val="afa"/>
      </w:pPr>
      <w:r>
        <w:rPr>
          <w:rFonts w:hint="eastAsia"/>
        </w:rPr>
        <w:t>胰岛素依赖糖尿病患者；</w:t>
      </w:r>
    </w:p>
    <w:p w14:paraId="3DDD11DF" w14:textId="77777777" w:rsidR="00546760" w:rsidRDefault="00EA0581">
      <w:pPr>
        <w:pStyle w:val="afa"/>
      </w:pPr>
      <w:r>
        <w:rPr>
          <w:rFonts w:hint="eastAsia"/>
        </w:rPr>
        <w:t>正在接受治疗的哮喘或其他慢性呼吸系统疾病患者；</w:t>
      </w:r>
    </w:p>
    <w:p w14:paraId="65036FAD" w14:textId="77777777" w:rsidR="00546760" w:rsidRDefault="00EA0581">
      <w:pPr>
        <w:pStyle w:val="afa"/>
      </w:pPr>
      <w:r>
        <w:rPr>
          <w:rFonts w:hint="eastAsia"/>
        </w:rPr>
        <w:t>近六个月内接受抗癌化疗者；</w:t>
      </w:r>
    </w:p>
    <w:p w14:paraId="4FE02D9E" w14:textId="77777777" w:rsidR="00546760" w:rsidRDefault="00EA0581">
      <w:pPr>
        <w:pStyle w:val="afa"/>
      </w:pPr>
      <w:r>
        <w:rPr>
          <w:rFonts w:hint="eastAsia"/>
        </w:rPr>
        <w:t>免疫缺陷或自身免疫性疾病患者；</w:t>
      </w:r>
    </w:p>
    <w:p w14:paraId="6642E435" w14:textId="77777777" w:rsidR="00546760" w:rsidRDefault="00EA0581">
      <w:pPr>
        <w:pStyle w:val="afa"/>
      </w:pPr>
      <w:r>
        <w:rPr>
          <w:rFonts w:hint="eastAsia"/>
        </w:rPr>
        <w:t>哺乳期或妊娠妇女；</w:t>
      </w:r>
    </w:p>
    <w:p w14:paraId="2F39AEFB" w14:textId="77777777" w:rsidR="00546760" w:rsidRDefault="00EA0581">
      <w:pPr>
        <w:pStyle w:val="afa"/>
        <w:rPr>
          <w:kern w:val="2"/>
          <w:szCs w:val="22"/>
        </w:rPr>
      </w:pPr>
      <w:r>
        <w:rPr>
          <w:rFonts w:hint="eastAsia"/>
        </w:rPr>
        <w:t>双侧乳房切除及双侧腋下淋巴结切除者；</w:t>
      </w:r>
    </w:p>
    <w:p w14:paraId="52FA91F9" w14:textId="77777777" w:rsidR="00546760" w:rsidRDefault="00EA0581">
      <w:pPr>
        <w:pStyle w:val="afa"/>
      </w:pPr>
      <w:r>
        <w:rPr>
          <w:rFonts w:hint="eastAsia"/>
        </w:rPr>
        <w:t>在皮肤待试部位由于瘢痕、色素、萎缩、鲜红斑痣或其他瑕疵而影响试验结果的判定者；</w:t>
      </w:r>
    </w:p>
    <w:p w14:paraId="71BEDF89" w14:textId="77777777" w:rsidR="00546760" w:rsidRDefault="00EA0581">
      <w:pPr>
        <w:pStyle w:val="afa"/>
      </w:pPr>
      <w:r>
        <w:rPr>
          <w:rFonts w:hint="eastAsia"/>
        </w:rPr>
        <w:t>参加其他的临床试验研究者；</w:t>
      </w:r>
    </w:p>
    <w:p w14:paraId="4292820E" w14:textId="77777777" w:rsidR="00546760" w:rsidRDefault="00EA0581">
      <w:pPr>
        <w:pStyle w:val="afa"/>
      </w:pPr>
      <w:r>
        <w:rPr>
          <w:rFonts w:hint="eastAsia"/>
        </w:rPr>
        <w:t>体质高度过敏者；</w:t>
      </w:r>
    </w:p>
    <w:p w14:paraId="09943386" w14:textId="77777777" w:rsidR="00546760" w:rsidRDefault="00EA0581">
      <w:pPr>
        <w:pStyle w:val="afa"/>
      </w:pPr>
      <w:r>
        <w:rPr>
          <w:rFonts w:hint="eastAsia"/>
        </w:rPr>
        <w:lastRenderedPageBreak/>
        <w:t>非志愿参加者或不能按试验要求完成规定内容者。</w:t>
      </w:r>
    </w:p>
    <w:p w14:paraId="15894664" w14:textId="77777777" w:rsidR="00546760" w:rsidRDefault="00EA0581">
      <w:pPr>
        <w:pStyle w:val="afff2"/>
        <w:spacing w:before="120" w:after="120"/>
      </w:pPr>
      <w:bookmarkStart w:id="43" w:name="_Hlk528396098"/>
      <w:r>
        <w:rPr>
          <w:rFonts w:hint="eastAsia"/>
        </w:rPr>
        <w:t>试验期间的要求</w:t>
      </w:r>
    </w:p>
    <w:p w14:paraId="4E5E3255" w14:textId="77777777" w:rsidR="00546760" w:rsidRDefault="00EA0581">
      <w:pPr>
        <w:pStyle w:val="afffffffff6"/>
      </w:pPr>
      <w:r>
        <w:rPr>
          <w:rFonts w:hint="eastAsia"/>
        </w:rPr>
        <w:t>受试部位禁止使用影响测试的制剂。</w:t>
      </w:r>
    </w:p>
    <w:p w14:paraId="0EBDD613" w14:textId="77777777" w:rsidR="00546760" w:rsidRDefault="00EA0581">
      <w:pPr>
        <w:pStyle w:val="afffffffff6"/>
      </w:pPr>
      <w:r>
        <w:rPr>
          <w:rFonts w:hint="eastAsia"/>
        </w:rPr>
        <w:t>受试部位使用的清洁产品和使用状况与日常一致。</w:t>
      </w:r>
    </w:p>
    <w:p w14:paraId="23CA5FA9" w14:textId="77777777" w:rsidR="00546760" w:rsidRDefault="00EA0581">
      <w:pPr>
        <w:pStyle w:val="afffffffff6"/>
      </w:pPr>
      <w:r>
        <w:rPr>
          <w:rFonts w:hint="eastAsia"/>
        </w:rPr>
        <w:t>受试者以室内活动为主，避免长期暴露在光照下。</w:t>
      </w:r>
    </w:p>
    <w:bookmarkEnd w:id="43"/>
    <w:p w14:paraId="25C4982F" w14:textId="77777777" w:rsidR="00546760" w:rsidRDefault="00EA0581">
      <w:pPr>
        <w:pStyle w:val="afff2"/>
        <w:spacing w:before="120" w:after="120"/>
      </w:pPr>
      <w:r>
        <w:rPr>
          <w:rFonts w:ascii="Times New Roman" w:hint="eastAsia"/>
        </w:rPr>
        <w:t>仪器</w:t>
      </w:r>
      <w:r>
        <w:rPr>
          <w:rFonts w:hint="eastAsia"/>
        </w:rPr>
        <w:t>使用要求</w:t>
      </w:r>
    </w:p>
    <w:p w14:paraId="020F08FD" w14:textId="77777777" w:rsidR="00546760" w:rsidRDefault="00EA0581">
      <w:pPr>
        <w:pStyle w:val="afffffa"/>
        <w:ind w:firstLine="420"/>
        <w:rPr>
          <w:color w:val="000000" w:themeColor="text1"/>
        </w:rPr>
      </w:pPr>
      <w:r>
        <w:rPr>
          <w:rFonts w:hint="eastAsia"/>
        </w:rPr>
        <w:t>按开放室经表皮水分流失测试仪使用说明进行测试。测量</w:t>
      </w:r>
      <w:r>
        <w:t>TEWL</w:t>
      </w:r>
      <w:r>
        <w:rPr>
          <w:rFonts w:hint="eastAsia"/>
        </w:rPr>
        <w:t>值时，仪器探头须置于斑贴区域中心位置。测量时，</w:t>
      </w:r>
      <w:r>
        <w:rPr>
          <w:rFonts w:hint="eastAsia"/>
          <w:color w:val="000000" w:themeColor="text1"/>
        </w:rPr>
        <w:t>取</w:t>
      </w:r>
      <w:r>
        <w:rPr>
          <w:color w:val="000000" w:themeColor="text1"/>
        </w:rPr>
        <w:t>TEWL</w:t>
      </w:r>
      <w:r>
        <w:rPr>
          <w:rFonts w:hint="eastAsia"/>
          <w:color w:val="000000" w:themeColor="text1"/>
        </w:rPr>
        <w:t>值曲线的</w:t>
      </w:r>
      <w:r>
        <w:rPr>
          <w:color w:val="000000" w:themeColor="text1"/>
        </w:rPr>
        <w:t>10</w:t>
      </w:r>
      <w:r>
        <w:rPr>
          <w:rFonts w:hint="eastAsia"/>
          <w:color w:val="000000" w:themeColor="text1"/>
        </w:rPr>
        <w:t>个连续点的平均值</w:t>
      </w:r>
      <w:r>
        <w:rPr>
          <w:color w:val="000000" w:themeColor="text1"/>
        </w:rPr>
        <w:t>[</w:t>
      </w:r>
      <w:r>
        <w:rPr>
          <w:rFonts w:hint="eastAsia"/>
          <w:color w:val="000000" w:themeColor="text1"/>
        </w:rPr>
        <w:t>其标准差应小于</w:t>
      </w:r>
      <w:r>
        <w:rPr>
          <w:color w:val="000000" w:themeColor="text1"/>
        </w:rPr>
        <w:t>0.2</w:t>
      </w:r>
      <w:r>
        <w:rPr>
          <w:rFonts w:ascii="MS Mincho" w:eastAsia="MS Mincho" w:hAnsi="MS Mincho" w:cs="MS Mincho" w:hint="eastAsia"/>
          <w:color w:val="000000" w:themeColor="text1"/>
        </w:rPr>
        <w:t> </w:t>
      </w:r>
      <w:r>
        <w:rPr>
          <w:color w:val="000000" w:themeColor="text1"/>
        </w:rPr>
        <w:t>g/(h</w:t>
      </w:r>
      <w:r>
        <w:rPr>
          <w:rFonts w:ascii="微软雅黑" w:eastAsia="微软雅黑" w:hAnsi="微软雅黑" w:cs="微软雅黑" w:hint="eastAsia"/>
          <w:color w:val="000000" w:themeColor="text1"/>
        </w:rPr>
        <w:t>∙</w:t>
      </w:r>
      <w:r>
        <w:rPr>
          <w:color w:val="000000" w:themeColor="text1"/>
        </w:rPr>
        <w:t>m</w:t>
      </w:r>
      <w:r>
        <w:rPr>
          <w:color w:val="000000" w:themeColor="text1"/>
          <w:vertAlign w:val="superscript"/>
        </w:rPr>
        <w:t>2</w:t>
      </w:r>
      <w:r>
        <w:rPr>
          <w:color w:val="000000" w:themeColor="text1"/>
        </w:rPr>
        <w:t>)]</w:t>
      </w:r>
      <w:r>
        <w:rPr>
          <w:rFonts w:hint="eastAsia"/>
          <w:color w:val="000000" w:themeColor="text1"/>
        </w:rPr>
        <w:t>作为测量值。</w:t>
      </w:r>
    </w:p>
    <w:p w14:paraId="15D87115" w14:textId="77777777" w:rsidR="00546760" w:rsidRDefault="00EA0581">
      <w:pPr>
        <w:pStyle w:val="afff1"/>
        <w:spacing w:before="240" w:after="240"/>
      </w:pPr>
      <w:r>
        <w:rPr>
          <w:rFonts w:hint="eastAsia"/>
        </w:rPr>
        <w:t>测试步骤</w:t>
      </w:r>
    </w:p>
    <w:p w14:paraId="2B76FBB0" w14:textId="77777777" w:rsidR="00546760" w:rsidRDefault="00EA0581">
      <w:pPr>
        <w:pStyle w:val="afff2"/>
        <w:spacing w:before="120" w:after="120"/>
      </w:pPr>
      <w:r>
        <w:rPr>
          <w:rFonts w:hint="eastAsia"/>
        </w:rPr>
        <w:t>皮肤屏障受损状态的建立</w:t>
      </w:r>
    </w:p>
    <w:p w14:paraId="0EA25D3E" w14:textId="77777777" w:rsidR="00546760" w:rsidRDefault="00EA0581">
      <w:pPr>
        <w:pStyle w:val="afffffa"/>
        <w:ind w:firstLine="420"/>
      </w:pPr>
      <w:r>
        <w:rPr>
          <w:rFonts w:hint="eastAsia"/>
        </w:rPr>
        <w:t>将</w:t>
      </w:r>
      <w:r>
        <w:t xml:space="preserve"> 200 </w:t>
      </w:r>
      <w:r>
        <w:t>µ</w:t>
      </w:r>
      <w:r>
        <w:t>L</w:t>
      </w:r>
      <w:r>
        <w:t>±</w:t>
      </w:r>
      <w:r>
        <w:t>10</w:t>
      </w:r>
      <w:r>
        <w:rPr>
          <w:rFonts w:ascii="MS Mincho" w:eastAsia="MS Mincho" w:hAnsi="MS Mincho" w:cs="MS Mincho" w:hint="eastAsia"/>
        </w:rPr>
        <w:t> </w:t>
      </w:r>
      <w:r>
        <w:t>µ</w:t>
      </w:r>
      <w:r>
        <w:t>L</w:t>
      </w:r>
      <w:r>
        <w:rPr>
          <w:rFonts w:hint="eastAsia"/>
        </w:rPr>
        <w:t>十二烷基硫酸钠溶液（6</w:t>
      </w:r>
      <w:r>
        <w:t>.3</w:t>
      </w:r>
      <w:r>
        <w:rPr>
          <w:rFonts w:hint="eastAsia"/>
        </w:rPr>
        <w:t>）注入斑试器小室内，浸润滤纸片，用低致敏胶带贴敷于受试者左、右前臂曲侧，左右各</w:t>
      </w:r>
      <w:r>
        <w:t>3</w:t>
      </w:r>
      <w:r>
        <w:rPr>
          <w:rFonts w:hint="eastAsia"/>
        </w:rPr>
        <w:t>个，相邻斑试器小室边缘间距不小于</w:t>
      </w:r>
      <w:r>
        <w:t xml:space="preserve"> 3</w:t>
      </w:r>
      <w:r>
        <w:rPr>
          <w:rFonts w:ascii="MS Mincho" w:eastAsia="MS Mincho" w:hAnsi="MS Mincho" w:cs="MS Mincho" w:hint="eastAsia"/>
        </w:rPr>
        <w:t> </w:t>
      </w:r>
      <w:r>
        <w:t>cm</w:t>
      </w:r>
      <w:r>
        <w:rPr>
          <w:rFonts w:hint="eastAsia"/>
        </w:rPr>
        <w:t>，用手掌轻压使之均匀地贴敷于皮肤上，持续</w:t>
      </w:r>
      <w:r>
        <w:t xml:space="preserve"> 24 h</w:t>
      </w:r>
      <w:r>
        <w:rPr>
          <w:rFonts w:hint="eastAsia"/>
        </w:rPr>
        <w:t>。</w:t>
      </w:r>
    </w:p>
    <w:p w14:paraId="05DFBFE3" w14:textId="77777777" w:rsidR="00546760" w:rsidRDefault="00EA0581">
      <w:pPr>
        <w:pStyle w:val="afffffa"/>
        <w:ind w:firstLine="420"/>
      </w:pPr>
      <w:r>
        <w:rPr>
          <w:rFonts w:hint="eastAsia"/>
        </w:rPr>
        <w:t>去除斑试器后，受试者在符合标准的测试环境中静坐</w:t>
      </w:r>
      <w:r>
        <w:t xml:space="preserve"> 30 </w:t>
      </w:r>
      <w:r>
        <w:rPr>
          <w:rFonts w:eastAsiaTheme="minorEastAsia"/>
        </w:rPr>
        <w:t>min</w:t>
      </w:r>
      <w:r>
        <w:rPr>
          <w:rFonts w:hint="eastAsia"/>
        </w:rPr>
        <w:t>（待压痕消失后），测量各斑贴区域中心位置的</w:t>
      </w:r>
      <w:r>
        <w:t xml:space="preserve"> TEWL</w:t>
      </w:r>
      <w:r>
        <w:rPr>
          <w:rFonts w:hint="eastAsia"/>
        </w:rPr>
        <w:t>值，每区域测量一次，测量结果以单臂</w:t>
      </w:r>
      <w:r>
        <w:t xml:space="preserve"> 3</w:t>
      </w:r>
      <w:r>
        <w:rPr>
          <w:rFonts w:hint="eastAsia"/>
        </w:rPr>
        <w:t>个斑贴区域</w:t>
      </w:r>
      <w:r>
        <w:t>TEWL</w:t>
      </w:r>
      <w:r>
        <w:rPr>
          <w:rFonts w:hint="eastAsia"/>
        </w:rPr>
        <w:t>值的平均值表示，作为初始值。</w:t>
      </w:r>
    </w:p>
    <w:p w14:paraId="73D108F4" w14:textId="77777777" w:rsidR="00546760" w:rsidRDefault="00EA0581">
      <w:pPr>
        <w:pStyle w:val="afffffa"/>
        <w:ind w:firstLine="420"/>
      </w:pPr>
      <w:r>
        <w:rPr>
          <w:rFonts w:hint="eastAsia"/>
        </w:rPr>
        <w:t>静坐期间，受试者不能喝水和饮料。前臂暴露，呈测试状态放置，保持放松，避免触碰斑贴区域。</w:t>
      </w:r>
    </w:p>
    <w:p w14:paraId="35518043" w14:textId="77777777" w:rsidR="00546760" w:rsidRDefault="00EA0581">
      <w:pPr>
        <w:pStyle w:val="afff2"/>
        <w:spacing w:before="120" w:after="120"/>
      </w:pPr>
      <w:r>
        <w:rPr>
          <w:rFonts w:hint="eastAsia"/>
        </w:rPr>
        <w:t>测定</w:t>
      </w:r>
    </w:p>
    <w:p w14:paraId="12B25B7E" w14:textId="77777777" w:rsidR="00546760" w:rsidRDefault="00EA0581">
      <w:pPr>
        <w:pStyle w:val="afffffa"/>
        <w:ind w:firstLine="420"/>
      </w:pPr>
      <w:r>
        <w:t>TEWL</w:t>
      </w:r>
      <w:r>
        <w:rPr>
          <w:rFonts w:hint="eastAsia"/>
        </w:rPr>
        <w:t>初始值测量结束后，当日开始按《样品使用说明》使用样品。</w:t>
      </w:r>
    </w:p>
    <w:p w14:paraId="5F6C9962" w14:textId="77777777" w:rsidR="00546760" w:rsidRDefault="00EA0581">
      <w:pPr>
        <w:pStyle w:val="afffffa"/>
        <w:ind w:firstLine="420"/>
      </w:pPr>
      <w:r>
        <w:rPr>
          <w:rFonts w:hint="eastAsia"/>
        </w:rPr>
        <w:t>受试者左、右前臂曲侧随机分为样品涂抹侧和对照侧，每侧均包含</w:t>
      </w:r>
      <w:r>
        <w:t>3</w:t>
      </w:r>
      <w:r>
        <w:rPr>
          <w:rFonts w:hint="eastAsia"/>
        </w:rPr>
        <w:t>个斑贴区域，确保样品涂抹侧和对照侧在统计学上达到平衡。</w:t>
      </w:r>
    </w:p>
    <w:p w14:paraId="64452FAC" w14:textId="77777777" w:rsidR="00546760" w:rsidRDefault="00EA0581">
      <w:pPr>
        <w:pStyle w:val="afffffa"/>
        <w:ind w:firstLine="420"/>
      </w:pPr>
      <w:r>
        <w:rPr>
          <w:rFonts w:hint="eastAsia"/>
        </w:rPr>
        <w:t>每次测量前，用清水清洁受试部位，并用无屑吸水干纸巾吸干。在符合标准的测试环境中静坐至少</w:t>
      </w:r>
      <w:r>
        <w:t>20 min</w:t>
      </w:r>
      <w:r>
        <w:rPr>
          <w:rFonts w:hint="eastAsia"/>
        </w:rPr>
        <w:t>，不能喝水和饮料，前臂暴露，保持放松，避免触碰斑贴区域。</w:t>
      </w:r>
    </w:p>
    <w:p w14:paraId="4D42C8FA" w14:textId="77777777" w:rsidR="00546760" w:rsidRDefault="00EA0581">
      <w:pPr>
        <w:pStyle w:val="afffffa"/>
        <w:ind w:firstLine="420"/>
      </w:pPr>
      <w:r>
        <w:rPr>
          <w:rFonts w:hint="eastAsia"/>
        </w:rPr>
        <w:t>在设定的测量时间点，测量各斑贴区域中心位置的</w:t>
      </w:r>
      <w:r>
        <w:t>TEWL</w:t>
      </w:r>
      <w:r>
        <w:rPr>
          <w:rFonts w:hint="eastAsia"/>
        </w:rPr>
        <w:t>值，各区域测量一次，测量结果以单臂</w:t>
      </w:r>
      <w:r>
        <w:t>3</w:t>
      </w:r>
      <w:r>
        <w:rPr>
          <w:rFonts w:hint="eastAsia"/>
        </w:rPr>
        <w:t>个斑贴区域内</w:t>
      </w:r>
      <w:r>
        <w:t>TEWL</w:t>
      </w:r>
      <w:r>
        <w:rPr>
          <w:rFonts w:hint="eastAsia"/>
        </w:rPr>
        <w:t>值的平均值表示。</w:t>
      </w:r>
    </w:p>
    <w:p w14:paraId="16250374" w14:textId="77777777" w:rsidR="00546760" w:rsidRDefault="00EA0581">
      <w:pPr>
        <w:pStyle w:val="afffffa"/>
        <w:ind w:firstLine="420"/>
      </w:pPr>
      <w:r>
        <w:rPr>
          <w:rFonts w:hint="eastAsia"/>
        </w:rPr>
        <w:t>设定的测量时间点间隔不少于</w:t>
      </w:r>
      <w:r>
        <w:t>1 d</w:t>
      </w:r>
      <w:r>
        <w:rPr>
          <w:rFonts w:hint="eastAsia"/>
        </w:rPr>
        <w:t>，可根据产品评价需要设定多个测量时间点，整个测试周期通常不超过</w:t>
      </w:r>
      <w:r>
        <w:t>14 d</w:t>
      </w:r>
      <w:r>
        <w:rPr>
          <w:rFonts w:hint="eastAsia"/>
        </w:rPr>
        <w:t>。</w:t>
      </w:r>
    </w:p>
    <w:p w14:paraId="25022A72" w14:textId="77777777" w:rsidR="00546760" w:rsidRDefault="00EA0581">
      <w:pPr>
        <w:pStyle w:val="afffffa"/>
        <w:ind w:firstLine="420"/>
      </w:pPr>
      <w:r>
        <w:rPr>
          <w:rFonts w:hint="eastAsia"/>
        </w:rPr>
        <w:t>同一个受试者的测试必须使用同一仪器由同一测试人员完成。</w:t>
      </w:r>
    </w:p>
    <w:p w14:paraId="5F231ED2" w14:textId="77777777" w:rsidR="00546760" w:rsidRDefault="00EA0581">
      <w:pPr>
        <w:pStyle w:val="afffffa"/>
        <w:ind w:firstLine="420"/>
      </w:pPr>
      <w:r>
        <w:rPr>
          <w:rFonts w:hint="eastAsia"/>
        </w:rPr>
        <w:t>化妆品测试时，</w:t>
      </w:r>
      <w:r>
        <w:rPr>
          <w:rFonts w:hint="eastAsia"/>
          <w:color w:val="000000"/>
        </w:rPr>
        <w:t>受试者按照《样品使用说明》使用样品，</w:t>
      </w:r>
      <w:r>
        <w:rPr>
          <w:rFonts w:hint="eastAsia"/>
        </w:rPr>
        <w:t>样品需完全覆盖样品涂抹侧斑贴区域。对照侧为空白对照。</w:t>
      </w:r>
    </w:p>
    <w:p w14:paraId="61623C19" w14:textId="77777777" w:rsidR="00546760" w:rsidRDefault="00EA0581">
      <w:pPr>
        <w:pStyle w:val="afffffa"/>
        <w:ind w:firstLine="420"/>
      </w:pPr>
      <w:r>
        <w:rPr>
          <w:rFonts w:hint="eastAsia"/>
        </w:rPr>
        <w:t>样品使用期间如受试者皮肤出现不良反应，应立即终止测试，并对受试者进行适当医治。对不良反应应予以记录。</w:t>
      </w:r>
    </w:p>
    <w:p w14:paraId="10A874CF" w14:textId="77777777" w:rsidR="00546760" w:rsidRDefault="00EA0581">
      <w:pPr>
        <w:pStyle w:val="afff1"/>
        <w:spacing w:before="240" w:after="240"/>
      </w:pPr>
      <w:r>
        <w:rPr>
          <w:rFonts w:hint="eastAsia"/>
        </w:rPr>
        <w:t>结果计算</w:t>
      </w:r>
    </w:p>
    <w:p w14:paraId="2995E7FE" w14:textId="77777777" w:rsidR="00546760" w:rsidRDefault="00EA0581">
      <w:pPr>
        <w:pStyle w:val="afffffa"/>
        <w:ind w:firstLine="420"/>
      </w:pPr>
      <w:r>
        <w:rPr>
          <w:rFonts w:hint="eastAsia"/>
        </w:rPr>
        <w:t>对样品涂抹侧和对照侧的</w:t>
      </w:r>
      <w:r>
        <w:t xml:space="preserve"> TEWL</w:t>
      </w:r>
      <w:r>
        <w:rPr>
          <w:rFonts w:hint="eastAsia"/>
        </w:rPr>
        <w:t>平均值进行描述性统计，包括数量、均值、标准差、最小值、中位值和最大值等。</w:t>
      </w:r>
      <w:r>
        <w:t xml:space="preserve"> </w:t>
      </w:r>
    </w:p>
    <w:p w14:paraId="76F1B6FD" w14:textId="77777777" w:rsidR="00546760" w:rsidRDefault="00EA0581">
      <w:pPr>
        <w:pStyle w:val="afffffa"/>
        <w:ind w:firstLine="420"/>
      </w:pPr>
      <w:r>
        <w:rPr>
          <w:rFonts w:hint="eastAsia"/>
        </w:rPr>
        <w:t>分别计算样品涂抹侧和对照侧</w:t>
      </w:r>
      <w:r>
        <w:t>TEWL</w:t>
      </w:r>
      <w:r>
        <w:rPr>
          <w:rFonts w:hint="eastAsia"/>
        </w:rPr>
        <w:t>平均值的变化率，见公式（</w:t>
      </w:r>
      <w:r>
        <w:t>2</w:t>
      </w:r>
      <w:r>
        <w:rPr>
          <w:rFonts w:hint="eastAsia"/>
        </w:rPr>
        <w:t>），然后利用此变化率，统计分析不同测量时间点样品涂抹区域和对照区域的差别。</w:t>
      </w:r>
    </w:p>
    <w:p w14:paraId="3205FF32" w14:textId="77777777" w:rsidR="00546760" w:rsidRDefault="00EA0581">
      <w:pPr>
        <w:pStyle w:val="afffffa"/>
        <w:ind w:firstLine="420"/>
      </w:pPr>
      <w:r>
        <w:t xml:space="preserve"> </w:t>
      </w:r>
    </w:p>
    <w:p w14:paraId="2B1C0199" w14:textId="77777777" w:rsidR="00546760" w:rsidRDefault="00EA0581">
      <w:pPr>
        <w:pStyle w:val="afffffff6"/>
      </w:pPr>
      <w:r>
        <w:tab/>
      </w:r>
      <m:oMath>
        <m:r>
          <m:rPr>
            <m:nor/>
          </m:rPr>
          <w:rPr>
            <w:rFonts w:ascii="Cambria Math" w:eastAsiaTheme="minorEastAsia" w:hAnsi="Cambria Math"/>
          </w:rPr>
          <m:t>TEWL</m:t>
        </m:r>
        <m:r>
          <m:rPr>
            <m:nor/>
          </m:rPr>
          <w:rPr>
            <w:rFonts w:ascii="Cambria Math" w:eastAsiaTheme="minorEastAsia" w:hAnsi="Cambria Math" w:hint="eastAsia"/>
          </w:rPr>
          <m:t>值的变化率</m:t>
        </m:r>
        <m:r>
          <m:rPr>
            <m:nor/>
          </m:rPr>
          <w:rPr>
            <w:rFonts w:ascii="Cambria Math" w:eastAsiaTheme="minorEastAsia" w:hAnsi="Cambria Math"/>
          </w:rPr>
          <m:t>=</m:t>
        </m:r>
        <m:f>
          <m:fPr>
            <m:ctrlPr>
              <w:rPr>
                <w:rFonts w:ascii="Cambria Math" w:eastAsiaTheme="minorEastAsia" w:hAnsi="Cambria Math" w:cs="宋体"/>
                <w:sz w:val="24"/>
              </w:rPr>
            </m:ctrlPr>
          </m:fPr>
          <m:num>
            <m:sSub>
              <m:sSubPr>
                <m:ctrlPr>
                  <w:rPr>
                    <w:rFonts w:ascii="Cambria Math" w:eastAsiaTheme="minorEastAsia" w:hAnsi="Cambria Math" w:cs="宋体"/>
                    <w:i/>
                    <w:sz w:val="24"/>
                  </w:rPr>
                </m:ctrlPr>
              </m:sSubPr>
              <m:e>
                <m:r>
                  <m:rPr>
                    <m:nor/>
                  </m:rPr>
                  <w:rPr>
                    <w:rFonts w:ascii="Cambria Math" w:eastAsiaTheme="minorEastAsia" w:hAnsi="Cambria Math"/>
                    <w:i/>
                  </w:rPr>
                  <m:t>T</m:t>
                </m:r>
              </m:e>
              <m:sub>
                <m:r>
                  <m:rPr>
                    <m:nor/>
                  </m:rPr>
                  <w:rPr>
                    <w:rFonts w:ascii="Cambria Math" w:eastAsiaTheme="minorEastAsia" w:hAnsi="Cambria Math"/>
                    <w:i/>
                  </w:rPr>
                  <m:t>0</m:t>
                </m:r>
              </m:sub>
            </m:sSub>
            <m:d>
              <m:dPr>
                <m:ctrlPr>
                  <w:rPr>
                    <w:rFonts w:ascii="Cambria Math" w:eastAsiaTheme="minorEastAsia" w:hAnsi="Cambria Math" w:cs="宋体"/>
                    <w:sz w:val="24"/>
                  </w:rPr>
                </m:ctrlPr>
              </m:dPr>
              <m:e>
                <m:r>
                  <m:rPr>
                    <m:nor/>
                  </m:rPr>
                  <w:rPr>
                    <w:rFonts w:ascii="Cambria Math" w:eastAsiaTheme="minorEastAsia" w:hAnsi="Cambria Math"/>
                  </w:rPr>
                  <m:t>TEWL</m:t>
                </m:r>
                <m:r>
                  <m:rPr>
                    <m:nor/>
                  </m:rPr>
                  <w:rPr>
                    <w:rFonts w:ascii="Cambria Math" w:eastAsiaTheme="minorEastAsia" w:hAnsi="Cambria Math" w:hint="eastAsia"/>
                  </w:rPr>
                  <m:t>值</m:t>
                </m:r>
              </m:e>
            </m:d>
            <m:r>
              <m:rPr>
                <m:nor/>
              </m:rPr>
              <w:rPr>
                <w:rFonts w:ascii="Cambria Math" w:eastAsiaTheme="minorEastAsia" w:hAnsi="Cambria Math"/>
              </w:rPr>
              <m:t>-</m:t>
            </m:r>
            <m:sSub>
              <m:sSubPr>
                <m:ctrlPr>
                  <w:rPr>
                    <w:rFonts w:ascii="Cambria Math" w:eastAsiaTheme="minorEastAsia" w:hAnsi="Cambria Math" w:cs="宋体"/>
                    <w:i/>
                    <w:sz w:val="24"/>
                  </w:rPr>
                </m:ctrlPr>
              </m:sSubPr>
              <m:e>
                <m:r>
                  <m:rPr>
                    <m:nor/>
                  </m:rPr>
                  <w:rPr>
                    <w:rFonts w:ascii="Cambria Math" w:eastAsiaTheme="minorEastAsia" w:hAnsi="Cambria Math"/>
                    <w:i/>
                  </w:rPr>
                  <m:t>T</m:t>
                </m:r>
              </m:e>
              <m:sub>
                <m:r>
                  <m:rPr>
                    <m:nor/>
                  </m:rPr>
                  <w:rPr>
                    <w:rFonts w:ascii="Cambria Math" w:eastAsiaTheme="minorEastAsia" w:hAnsi="Cambria Math"/>
                    <w:i/>
                  </w:rPr>
                  <m:t>n</m:t>
                </m:r>
              </m:sub>
            </m:sSub>
            <m:d>
              <m:dPr>
                <m:ctrlPr>
                  <w:rPr>
                    <w:rFonts w:ascii="Cambria Math" w:eastAsiaTheme="minorEastAsia" w:hAnsi="Cambria Math" w:cs="宋体"/>
                    <w:sz w:val="24"/>
                  </w:rPr>
                </m:ctrlPr>
              </m:dPr>
              <m:e>
                <m:r>
                  <m:rPr>
                    <m:nor/>
                  </m:rPr>
                  <w:rPr>
                    <w:rFonts w:ascii="Cambria Math" w:eastAsiaTheme="minorEastAsia" w:hAnsi="Cambria Math"/>
                  </w:rPr>
                  <m:t>TEWL</m:t>
                </m:r>
                <m:r>
                  <m:rPr>
                    <m:nor/>
                  </m:rPr>
                  <w:rPr>
                    <w:rFonts w:ascii="Cambria Math" w:eastAsiaTheme="minorEastAsia" w:hAnsi="Cambria Math" w:hint="eastAsia"/>
                  </w:rPr>
                  <m:t>值</m:t>
                </m:r>
              </m:e>
            </m:d>
          </m:num>
          <m:den>
            <m:sSub>
              <m:sSubPr>
                <m:ctrlPr>
                  <w:rPr>
                    <w:rFonts w:ascii="Cambria Math" w:eastAsiaTheme="minorEastAsia" w:hAnsi="Cambria Math" w:cs="宋体"/>
                    <w:i/>
                    <w:sz w:val="24"/>
                  </w:rPr>
                </m:ctrlPr>
              </m:sSubPr>
              <m:e>
                <m:r>
                  <m:rPr>
                    <m:nor/>
                  </m:rPr>
                  <w:rPr>
                    <w:rFonts w:ascii="Cambria Math" w:eastAsiaTheme="minorEastAsia" w:hAnsi="Cambria Math"/>
                    <w:i/>
                  </w:rPr>
                  <m:t>T</m:t>
                </m:r>
              </m:e>
              <m:sub>
                <m:r>
                  <m:rPr>
                    <m:nor/>
                  </m:rPr>
                  <w:rPr>
                    <w:rFonts w:ascii="Cambria Math" w:eastAsiaTheme="minorEastAsia" w:hAnsi="Cambria Math"/>
                    <w:i/>
                  </w:rPr>
                  <m:t>0</m:t>
                </m:r>
              </m:sub>
            </m:sSub>
            <m:d>
              <m:dPr>
                <m:ctrlPr>
                  <w:rPr>
                    <w:rFonts w:ascii="Cambria Math" w:eastAsiaTheme="minorEastAsia" w:hAnsi="Cambria Math" w:cs="宋体"/>
                    <w:sz w:val="24"/>
                  </w:rPr>
                </m:ctrlPr>
              </m:dPr>
              <m:e>
                <m:r>
                  <m:rPr>
                    <m:nor/>
                  </m:rPr>
                  <w:rPr>
                    <w:rFonts w:ascii="Cambria Math" w:eastAsiaTheme="minorEastAsia" w:hAnsi="Cambria Math"/>
                  </w:rPr>
                  <m:t>TEWL</m:t>
                </m:r>
                <m:r>
                  <m:rPr>
                    <m:nor/>
                  </m:rPr>
                  <w:rPr>
                    <w:rFonts w:ascii="Cambria Math" w:eastAsiaTheme="minorEastAsia" w:hAnsi="Cambria Math" w:hint="eastAsia"/>
                  </w:rPr>
                  <m:t>值</m:t>
                </m:r>
              </m:e>
            </m:d>
          </m:den>
        </m:f>
        <m:r>
          <m:rPr>
            <m:nor/>
          </m:rPr>
          <w:rPr>
            <w:rFonts w:ascii="Cambria Math" w:eastAsiaTheme="minorEastAsia" w:hAnsi="Cambria Math"/>
          </w:rPr>
          <m:t>×100%</m:t>
        </m:r>
      </m:oMath>
      <w:r>
        <w:rPr>
          <w:rFonts w:ascii="微软雅黑" w:eastAsia="微软雅黑" w:hAnsi="微软雅黑"/>
        </w:rPr>
        <w:tab/>
      </w:r>
      <w:r>
        <w:t>(</w:t>
      </w:r>
      <w:r>
        <w:fldChar w:fldCharType="begin"/>
      </w:r>
      <w:r>
        <w:instrText xml:space="preserve"> AUTONUM </w:instrText>
      </w:r>
      <w:r>
        <w:fldChar w:fldCharType="end"/>
      </w:r>
      <w:r>
        <w:t>)</w:t>
      </w:r>
    </w:p>
    <w:p w14:paraId="6C761BA7" w14:textId="77777777" w:rsidR="00546760" w:rsidRDefault="00EA0581">
      <w:pPr>
        <w:pStyle w:val="afffff9"/>
        <w:ind w:firstLine="420"/>
      </w:pPr>
      <w:r>
        <w:rPr>
          <w:rFonts w:hint="eastAsia"/>
        </w:rPr>
        <w:lastRenderedPageBreak/>
        <w:t>式中：</w:t>
      </w:r>
    </w:p>
    <w:p w14:paraId="0A0FC40A" w14:textId="77777777" w:rsidR="00546760" w:rsidRDefault="00EA0581">
      <w:pPr>
        <w:pStyle w:val="afffffa"/>
        <w:ind w:firstLine="420"/>
      </w:pPr>
      <w:r>
        <w:rPr>
          <w:i/>
        </w:rPr>
        <w:t>T</w:t>
      </w:r>
      <w:r>
        <w:rPr>
          <w:i/>
          <w:vertAlign w:val="subscript"/>
        </w:rPr>
        <w:t>0</w:t>
      </w:r>
      <w:r>
        <w:rPr>
          <w:rFonts w:hint="eastAsia"/>
        </w:rPr>
        <w:t>（</w:t>
      </w:r>
      <w:r>
        <w:t>TEWL</w:t>
      </w:r>
      <w:r>
        <w:rPr>
          <w:rFonts w:hint="eastAsia"/>
        </w:rPr>
        <w:t>值）</w:t>
      </w:r>
      <w:r>
        <w:t>——</w:t>
      </w:r>
      <w:r>
        <w:rPr>
          <w:rFonts w:hint="eastAsia"/>
        </w:rPr>
        <w:t>单臂</w:t>
      </w:r>
      <w:r>
        <w:t xml:space="preserve"> TEWL</w:t>
      </w:r>
      <w:r>
        <w:rPr>
          <w:rFonts w:hint="eastAsia"/>
        </w:rPr>
        <w:t>初始值；</w:t>
      </w:r>
    </w:p>
    <w:p w14:paraId="19E07C8A" w14:textId="77777777" w:rsidR="00546760" w:rsidRDefault="00EA0581">
      <w:pPr>
        <w:pStyle w:val="afffffa"/>
        <w:ind w:firstLine="420"/>
      </w:pPr>
      <w:r>
        <w:rPr>
          <w:i/>
        </w:rPr>
        <w:t>T</w:t>
      </w:r>
      <w:r>
        <w:rPr>
          <w:i/>
          <w:vertAlign w:val="subscript"/>
        </w:rPr>
        <w:t>n</w:t>
      </w:r>
      <w:r>
        <w:rPr>
          <w:rFonts w:hint="eastAsia"/>
        </w:rPr>
        <w:t>（</w:t>
      </w:r>
      <w:r>
        <w:t>TEWL</w:t>
      </w:r>
      <w:r>
        <w:rPr>
          <w:rFonts w:hint="eastAsia"/>
        </w:rPr>
        <w:t>值）</w:t>
      </w:r>
      <w:r>
        <w:t>——</w:t>
      </w:r>
      <w:r>
        <w:rPr>
          <w:rFonts w:hint="eastAsia"/>
        </w:rPr>
        <w:t>不同测量时间点的单臂</w:t>
      </w:r>
      <w:r>
        <w:t xml:space="preserve"> TEWL</w:t>
      </w:r>
      <w:r>
        <w:rPr>
          <w:rFonts w:hint="eastAsia"/>
        </w:rPr>
        <w:t>值。</w:t>
      </w:r>
    </w:p>
    <w:p w14:paraId="541689DB" w14:textId="77777777" w:rsidR="00546760" w:rsidRDefault="00EA0581">
      <w:pPr>
        <w:pStyle w:val="afffffa"/>
        <w:ind w:firstLine="420"/>
      </w:pPr>
      <w:r>
        <w:rPr>
          <w:rFonts w:hint="eastAsia"/>
        </w:rPr>
        <w:t>如测试数据为正态分布，则采用</w:t>
      </w:r>
      <w:r>
        <w:rPr>
          <w:rFonts w:ascii="MS Mincho" w:eastAsia="MS Mincho" w:hAnsi="MS Mincho" w:cs="MS Mincho" w:hint="eastAsia"/>
        </w:rPr>
        <w:t> </w:t>
      </w:r>
      <w:r>
        <w:rPr>
          <w:i/>
          <w:iCs/>
        </w:rPr>
        <w:t>t</w:t>
      </w:r>
      <w:r>
        <w:rPr>
          <w:rFonts w:ascii="MS Mincho" w:eastAsia="MS Mincho" w:hAnsi="MS Mincho" w:cs="MS Mincho" w:hint="eastAsia"/>
        </w:rPr>
        <w:t> </w:t>
      </w:r>
      <w:r>
        <w:rPr>
          <w:rFonts w:hint="eastAsia"/>
        </w:rPr>
        <w:t>检验方法进行统计分析；如测试数据为非正态分布，则采用秩和检验方法进行统计分析。</w:t>
      </w:r>
      <w:r>
        <w:t xml:space="preserve"> </w:t>
      </w:r>
    </w:p>
    <w:p w14:paraId="7FB37A96" w14:textId="77777777" w:rsidR="00546760" w:rsidRDefault="00EA0581">
      <w:pPr>
        <w:pStyle w:val="afffffa"/>
        <w:ind w:firstLine="420"/>
      </w:pPr>
      <w:r>
        <w:rPr>
          <w:rFonts w:hint="eastAsia"/>
        </w:rPr>
        <w:t>统计方法均采用双尾检验，检验水准</w:t>
      </w:r>
      <w:r>
        <w:rPr>
          <w:i/>
          <w:iCs/>
        </w:rPr>
        <w:t>α</w:t>
      </w:r>
      <w:r>
        <w:t xml:space="preserve"> = </w:t>
      </w:r>
      <w:r>
        <w:rPr>
          <w:rFonts w:eastAsiaTheme="minorEastAsia"/>
        </w:rPr>
        <w:t>0.05</w:t>
      </w:r>
      <w:r>
        <w:rPr>
          <w:rFonts w:hint="eastAsia"/>
        </w:rPr>
        <w:t>。</w:t>
      </w:r>
    </w:p>
    <w:p w14:paraId="2372B924" w14:textId="77777777" w:rsidR="00546760" w:rsidRDefault="00EA0581">
      <w:pPr>
        <w:pStyle w:val="afff1"/>
        <w:spacing w:before="240" w:after="240"/>
      </w:pPr>
      <w:r>
        <w:rPr>
          <w:rFonts w:hint="eastAsia"/>
        </w:rPr>
        <w:t>结果判定</w:t>
      </w:r>
    </w:p>
    <w:p w14:paraId="03355C3E" w14:textId="77777777" w:rsidR="00546760" w:rsidRDefault="00EA0581">
      <w:pPr>
        <w:pStyle w:val="afffffa"/>
        <w:ind w:firstLine="420"/>
      </w:pPr>
      <w:r>
        <w:rPr>
          <w:rFonts w:hint="eastAsia"/>
        </w:rPr>
        <w:t>阳性结果：与对照侧相比，样品涂抹侧</w:t>
      </w:r>
      <w:r>
        <w:t xml:space="preserve"> TEWL</w:t>
      </w:r>
      <w:r>
        <w:rPr>
          <w:rFonts w:hint="eastAsia"/>
        </w:rPr>
        <w:t>值的变化率呈显著性差异，表示被测样品对屏障受损皮肤的经表皮水分流失的恢复有促进效果。</w:t>
      </w:r>
    </w:p>
    <w:p w14:paraId="312078E9" w14:textId="77777777" w:rsidR="00546760" w:rsidRDefault="00EA0581">
      <w:pPr>
        <w:pStyle w:val="afffffa"/>
        <w:ind w:firstLine="420"/>
      </w:pPr>
      <w:r>
        <w:rPr>
          <w:rFonts w:hint="eastAsia"/>
        </w:rPr>
        <w:t>阴性结果：与对照侧相比，样品涂抹侧</w:t>
      </w:r>
      <w:r>
        <w:t xml:space="preserve"> TEWL</w:t>
      </w:r>
      <w:r>
        <w:rPr>
          <w:rFonts w:hint="eastAsia"/>
        </w:rPr>
        <w:t>值的变化率无显著性差异，表示被测样品对屏障受损皮肤的经表皮水分流失的恢复无促进效果。</w:t>
      </w:r>
    </w:p>
    <w:p w14:paraId="45CB59F0" w14:textId="77777777" w:rsidR="00546760" w:rsidRDefault="00EA0581">
      <w:pPr>
        <w:pStyle w:val="affffffffffff"/>
        <w:ind w:firstLine="360"/>
        <w:rPr>
          <w:rFonts w:ascii="Times New Roman"/>
          <w:sz w:val="18"/>
          <w:szCs w:val="18"/>
        </w:rPr>
      </w:pPr>
      <w:r>
        <w:rPr>
          <w:rFonts w:ascii="Times New Roman" w:hint="eastAsia"/>
          <w:sz w:val="18"/>
          <w:szCs w:val="18"/>
        </w:rPr>
        <w:t>注：该标准不是化妆品影响经表皮水分流失测试的唯一方法。</w:t>
      </w:r>
    </w:p>
    <w:p w14:paraId="25462E1F" w14:textId="77777777" w:rsidR="00546760" w:rsidRDefault="00EA0581">
      <w:pPr>
        <w:pStyle w:val="afff1"/>
        <w:spacing w:before="240" w:after="240"/>
      </w:pPr>
      <w:r>
        <w:rPr>
          <w:rFonts w:hint="eastAsia"/>
        </w:rPr>
        <w:t>试验报告</w:t>
      </w:r>
    </w:p>
    <w:p w14:paraId="10641E40" w14:textId="77777777" w:rsidR="00546760" w:rsidRDefault="00EA0581">
      <w:pPr>
        <w:pStyle w:val="affffffffffff"/>
        <w:rPr>
          <w:rFonts w:cs="宋体"/>
        </w:rPr>
      </w:pPr>
      <w:r>
        <w:rPr>
          <w:rFonts w:cs="宋体" w:hint="eastAsia"/>
        </w:rPr>
        <w:t>试验报告至少应给出以下几个方面的内容：</w:t>
      </w:r>
    </w:p>
    <w:p w14:paraId="6BE93F8F" w14:textId="77777777" w:rsidR="00546760" w:rsidRDefault="00EA0581">
      <w:pPr>
        <w:pStyle w:val="afa"/>
        <w:numPr>
          <w:ilvl w:val="0"/>
          <w:numId w:val="33"/>
        </w:numPr>
      </w:pPr>
      <w:r>
        <w:rPr>
          <w:rFonts w:hint="eastAsia"/>
        </w:rPr>
        <w:t>识别被测样品所需全部资料；</w:t>
      </w:r>
    </w:p>
    <w:p w14:paraId="6E3847A2" w14:textId="77777777" w:rsidR="00546760" w:rsidRDefault="00EA0581">
      <w:pPr>
        <w:pStyle w:val="afa"/>
      </w:pPr>
      <w:r>
        <w:rPr>
          <w:rFonts w:hint="eastAsia"/>
        </w:rPr>
        <w:t>试验所采用的方法；</w:t>
      </w:r>
    </w:p>
    <w:p w14:paraId="00210745" w14:textId="77777777" w:rsidR="00546760" w:rsidRDefault="00EA0581">
      <w:pPr>
        <w:pStyle w:val="afa"/>
      </w:pPr>
      <w:r>
        <w:rPr>
          <w:rFonts w:hint="eastAsia"/>
        </w:rPr>
        <w:t>试验设定时间；</w:t>
      </w:r>
    </w:p>
    <w:p w14:paraId="0E208776" w14:textId="77777777" w:rsidR="00546760" w:rsidRDefault="00EA0581">
      <w:pPr>
        <w:pStyle w:val="afa"/>
      </w:pPr>
      <w:r>
        <w:rPr>
          <w:rFonts w:hint="eastAsia"/>
        </w:rPr>
        <w:t>试验结果：包括每个受试者每次试验的结果，按规定的方法进行数据处理；</w:t>
      </w:r>
    </w:p>
    <w:p w14:paraId="10F95F7C" w14:textId="77777777" w:rsidR="00546760" w:rsidRDefault="00EA0581">
      <w:pPr>
        <w:pStyle w:val="afa"/>
      </w:pPr>
      <w:r>
        <w:rPr>
          <w:rFonts w:hint="eastAsia"/>
        </w:rPr>
        <w:t>试验结论：根据统计结果得出被测样品是否对屏障受损皮肤的经表皮水分流失的恢复</w:t>
      </w:r>
    </w:p>
    <w:p w14:paraId="49D0E0EF" w14:textId="77777777" w:rsidR="00546760" w:rsidRDefault="00EA0581">
      <w:pPr>
        <w:pStyle w:val="afa"/>
        <w:numPr>
          <w:ilvl w:val="0"/>
          <w:numId w:val="0"/>
        </w:numPr>
        <w:ind w:firstLineChars="200" w:firstLine="420"/>
      </w:pPr>
      <w:r>
        <w:rPr>
          <w:rFonts w:hint="eastAsia"/>
        </w:rPr>
        <w:t>有促进功效；</w:t>
      </w:r>
    </w:p>
    <w:p w14:paraId="6D520865" w14:textId="77777777" w:rsidR="00546760" w:rsidRDefault="00EA0581">
      <w:pPr>
        <w:pStyle w:val="afa"/>
      </w:pPr>
      <w:r>
        <w:rPr>
          <w:rFonts w:hint="eastAsia"/>
        </w:rPr>
        <w:t>试验中的异常现象；</w:t>
      </w:r>
    </w:p>
    <w:p w14:paraId="7F18F95B" w14:textId="77777777" w:rsidR="00546760" w:rsidRDefault="00EA0581">
      <w:pPr>
        <w:pStyle w:val="afa"/>
      </w:pPr>
      <w:r>
        <w:rPr>
          <w:rFonts w:hint="eastAsia"/>
        </w:rPr>
        <w:t>试验的日期；</w:t>
      </w:r>
    </w:p>
    <w:p w14:paraId="7C232332" w14:textId="77777777" w:rsidR="00546760" w:rsidRDefault="00EA0581">
      <w:pPr>
        <w:pStyle w:val="afa"/>
      </w:pPr>
      <w:r>
        <w:rPr>
          <w:rFonts w:hint="eastAsia"/>
        </w:rPr>
        <w:t>报告后附测试环境温度湿度动态记录；</w:t>
      </w:r>
    </w:p>
    <w:p w14:paraId="6B0A4134" w14:textId="77777777" w:rsidR="00546760" w:rsidRDefault="00EA0581">
      <w:pPr>
        <w:pStyle w:val="afa"/>
        <w:rPr>
          <w:kern w:val="2"/>
          <w:szCs w:val="22"/>
        </w:rPr>
      </w:pPr>
      <w:r>
        <w:rPr>
          <w:rFonts w:hint="eastAsia"/>
        </w:rPr>
        <w:t>检验者、校核人和技术负责人分别签字以及检验单位公章或检验专用章。</w:t>
      </w:r>
    </w:p>
    <w:p w14:paraId="03745477" w14:textId="77777777" w:rsidR="00546760" w:rsidRDefault="00546760">
      <w:pPr>
        <w:pStyle w:val="afffffa"/>
        <w:ind w:firstLine="420"/>
      </w:pPr>
    </w:p>
    <w:p w14:paraId="20D9145A" w14:textId="4EDAA838" w:rsidR="00546760" w:rsidRDefault="00EA0581" w:rsidP="00EA0581">
      <w:pPr>
        <w:pStyle w:val="afffffa"/>
        <w:ind w:firstLine="420"/>
        <w:jc w:val="center"/>
        <w:rPr>
          <w:rFonts w:ascii="Times New Roman"/>
        </w:rPr>
      </w:pPr>
      <w:r>
        <w:rPr>
          <w:rFonts w:hint="eastAsia"/>
          <w:noProof/>
        </w:rPr>
        <w:drawing>
          <wp:inline distT="0" distB="0" distL="0" distR="0" wp14:anchorId="35745DDC" wp14:editId="4C41A1E1">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p w14:paraId="42EE803C" w14:textId="77777777" w:rsidR="00546760" w:rsidRDefault="00546760">
      <w:pPr>
        <w:pStyle w:val="afffffa"/>
        <w:ind w:firstLine="420"/>
      </w:pPr>
    </w:p>
    <w:p w14:paraId="52BA58D5" w14:textId="77777777" w:rsidR="00546760" w:rsidRDefault="00546760">
      <w:pPr>
        <w:pStyle w:val="afffffa"/>
        <w:ind w:firstLine="420"/>
        <w:rPr>
          <w:szCs w:val="21"/>
        </w:rPr>
      </w:pPr>
    </w:p>
    <w:p w14:paraId="51EED7D1" w14:textId="77777777" w:rsidR="00546760" w:rsidRDefault="00546760">
      <w:pPr>
        <w:pStyle w:val="afffffa"/>
        <w:ind w:firstLine="420"/>
      </w:pPr>
    </w:p>
    <w:p w14:paraId="52DA511B" w14:textId="77777777" w:rsidR="00546760" w:rsidRDefault="00546760">
      <w:pPr>
        <w:pStyle w:val="afffffffff3"/>
        <w:numPr>
          <w:ilvl w:val="0"/>
          <w:numId w:val="0"/>
        </w:numPr>
      </w:pPr>
    </w:p>
    <w:p w14:paraId="1C664D08" w14:textId="77777777" w:rsidR="00546760" w:rsidRDefault="00546760">
      <w:pPr>
        <w:pStyle w:val="afffffa"/>
        <w:ind w:firstLine="420"/>
      </w:pPr>
    </w:p>
    <w:p w14:paraId="1BA5E5AE" w14:textId="77777777" w:rsidR="00546760" w:rsidRDefault="00546760">
      <w:pPr>
        <w:pStyle w:val="afffffa"/>
        <w:ind w:firstLine="420"/>
      </w:pPr>
    </w:p>
    <w:p w14:paraId="4668F969" w14:textId="77777777" w:rsidR="00546760" w:rsidRDefault="00546760">
      <w:pPr>
        <w:pStyle w:val="afffffa"/>
        <w:ind w:firstLine="420"/>
      </w:pPr>
    </w:p>
    <w:p w14:paraId="443509A3" w14:textId="77777777" w:rsidR="00546760" w:rsidRDefault="00546760">
      <w:pPr>
        <w:pStyle w:val="afffffa"/>
        <w:ind w:firstLine="420"/>
      </w:pPr>
    </w:p>
    <w:p w14:paraId="41BF798C" w14:textId="77777777" w:rsidR="00546760" w:rsidRDefault="00546760">
      <w:pPr>
        <w:pStyle w:val="afd"/>
        <w:rPr>
          <w:vanish w:val="0"/>
        </w:rPr>
      </w:pPr>
      <w:bookmarkStart w:id="44" w:name="BookMark5"/>
      <w:bookmarkEnd w:id="23"/>
    </w:p>
    <w:p w14:paraId="69A6C6B3" w14:textId="77777777" w:rsidR="00546760" w:rsidRDefault="00546760">
      <w:pPr>
        <w:pStyle w:val="aff3"/>
        <w:rPr>
          <w:vanish w:val="0"/>
        </w:rPr>
      </w:pPr>
    </w:p>
    <w:bookmarkEnd w:id="44"/>
    <w:p w14:paraId="3E21AEDF" w14:textId="2BBAEC8B" w:rsidR="00546760" w:rsidRDefault="00546760">
      <w:pPr>
        <w:pStyle w:val="afffffa"/>
        <w:ind w:firstLineChars="0" w:firstLine="0"/>
        <w:jc w:val="center"/>
      </w:pPr>
    </w:p>
    <w:sectPr w:rsidR="00546760">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CD7B2" w14:textId="77777777" w:rsidR="005B1F29" w:rsidRDefault="005B1F29">
      <w:pPr>
        <w:spacing w:line="240" w:lineRule="auto"/>
      </w:pPr>
      <w:r>
        <w:separator/>
      </w:r>
    </w:p>
  </w:endnote>
  <w:endnote w:type="continuationSeparator" w:id="0">
    <w:p w14:paraId="6A5FA388" w14:textId="77777777" w:rsidR="005B1F29" w:rsidRDefault="005B1F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4343" w14:textId="77777777" w:rsidR="00546760" w:rsidRDefault="00EA0581">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A9463" w14:textId="77777777" w:rsidR="00546760" w:rsidRDefault="00546760">
    <w:pPr>
      <w:pStyle w:val="afff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BDD9C" w14:textId="77777777" w:rsidR="00546760" w:rsidRDefault="00546760">
    <w:pPr>
      <w:pStyle w:val="affff3"/>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731E3" w14:textId="77777777" w:rsidR="00546760" w:rsidRDefault="00EA0581">
    <w:pPr>
      <w:pStyle w:val="afffff7"/>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518FD" w14:textId="77777777" w:rsidR="005B1F29" w:rsidRDefault="005B1F29">
      <w:pPr>
        <w:spacing w:line="240" w:lineRule="auto"/>
      </w:pPr>
      <w:r>
        <w:separator/>
      </w:r>
    </w:p>
  </w:footnote>
  <w:footnote w:type="continuationSeparator" w:id="0">
    <w:p w14:paraId="5BFC0E62" w14:textId="77777777" w:rsidR="005B1F29" w:rsidRDefault="005B1F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6BAC" w14:textId="77777777" w:rsidR="00546760" w:rsidRDefault="00546760">
    <w:pPr>
      <w:pStyle w:val="aff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982E2" w14:textId="77777777" w:rsidR="00546760" w:rsidRDefault="00EA0581">
    <w:pPr>
      <w:pStyle w:val="af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81827" w14:textId="77777777" w:rsidR="00546760" w:rsidRDefault="00546760">
    <w:pPr>
      <w:pStyle w:val="affff5"/>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62430" w14:textId="77777777" w:rsidR="00546760" w:rsidRDefault="00EA0581">
    <w:pPr>
      <w:pStyle w:val="affff5"/>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XX/T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EDEB0" w14:textId="3078EA2F" w:rsidR="00546760" w:rsidRDefault="00EA0581">
    <w:pPr>
      <w:pStyle w:val="affffff"/>
    </w:pPr>
    <w:r>
      <w:fldChar w:fldCharType="begin"/>
    </w:r>
    <w:r>
      <w:instrText xml:space="preserve"> STYLEREF  标准文件_文件编号  \* MERGEFORMAT </w:instrText>
    </w:r>
    <w:r>
      <w:fldChar w:fldCharType="separate"/>
    </w:r>
    <w:r w:rsidR="00C54B56">
      <w:rPr>
        <w:noProof/>
      </w:rPr>
      <w:t>XX/T XXXXX</w:t>
    </w:r>
    <w:r w:rsidR="00C54B56">
      <w:rPr>
        <w:noProof/>
      </w:rPr>
      <w:t>—</w:t>
    </w:r>
    <w:r w:rsidR="00C54B56">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1" w15:restartNumberingAfterBreak="0">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2MTCzNLc0MTKyMDFW0lEKTi0uzszPAykwrAUAI/SJeywAAAA="/>
  </w:docVars>
  <w:rsids>
    <w:rsidRoot w:val="00645EB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3C0"/>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3E11"/>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35F8"/>
    <w:rsid w:val="002643C3"/>
    <w:rsid w:val="00264A0C"/>
    <w:rsid w:val="00267748"/>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2859"/>
    <w:rsid w:val="003C5A43"/>
    <w:rsid w:val="003D0519"/>
    <w:rsid w:val="003D0FF6"/>
    <w:rsid w:val="003D1D38"/>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6E4"/>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4630"/>
    <w:rsid w:val="004F6456"/>
    <w:rsid w:val="004F696E"/>
    <w:rsid w:val="004F6C71"/>
    <w:rsid w:val="00501139"/>
    <w:rsid w:val="00501E4B"/>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0AB8"/>
    <w:rsid w:val="00533D04"/>
    <w:rsid w:val="00534804"/>
    <w:rsid w:val="00534BDF"/>
    <w:rsid w:val="005354EA"/>
    <w:rsid w:val="00535EC4"/>
    <w:rsid w:val="00535ED9"/>
    <w:rsid w:val="0053692B"/>
    <w:rsid w:val="00541853"/>
    <w:rsid w:val="00543BDA"/>
    <w:rsid w:val="005441CC"/>
    <w:rsid w:val="00546760"/>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67BD"/>
    <w:rsid w:val="00587ADD"/>
    <w:rsid w:val="00596160"/>
    <w:rsid w:val="005966E2"/>
    <w:rsid w:val="00597007"/>
    <w:rsid w:val="005A0966"/>
    <w:rsid w:val="005A11B7"/>
    <w:rsid w:val="005A260B"/>
    <w:rsid w:val="005A4A1B"/>
    <w:rsid w:val="005A7830"/>
    <w:rsid w:val="005A7FCE"/>
    <w:rsid w:val="005B0F3F"/>
    <w:rsid w:val="005B1F29"/>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45EB0"/>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60CB"/>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18A"/>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446B"/>
    <w:rsid w:val="00A8473F"/>
    <w:rsid w:val="00A862D6"/>
    <w:rsid w:val="00A8715E"/>
    <w:rsid w:val="00A87647"/>
    <w:rsid w:val="00A925F0"/>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4B5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BF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0581"/>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3137"/>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C5C20"/>
    <w:rsid w:val="00FD00E6"/>
    <w:rsid w:val="00FD09A1"/>
    <w:rsid w:val="00FD2A7C"/>
    <w:rsid w:val="00FD59EB"/>
    <w:rsid w:val="00FD7299"/>
    <w:rsid w:val="00FE1FBE"/>
    <w:rsid w:val="00FE3901"/>
    <w:rsid w:val="00FE39D3"/>
    <w:rsid w:val="00FE4BCE"/>
    <w:rsid w:val="00FE54AE"/>
    <w:rsid w:val="00FE576A"/>
    <w:rsid w:val="00FE7AB3"/>
    <w:rsid w:val="00FE7E79"/>
    <w:rsid w:val="00FF3E7D"/>
    <w:rsid w:val="00FF5B99"/>
    <w:rsid w:val="00FF730C"/>
    <w:rsid w:val="00FF73F4"/>
    <w:rsid w:val="00FF7CE4"/>
    <w:rsid w:val="00FF7E39"/>
    <w:rsid w:val="38EE090A"/>
    <w:rsid w:val="7A680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6ECDDFC"/>
  <w15:docId w15:val="{84BAA882-B20F-460A-87AA-CEE977C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a">
    <w:name w:val="Normal"/>
    <w:qFormat/>
    <w:pPr>
      <w:widowControl w:val="0"/>
      <w:adjustRightInd w:val="0"/>
      <w:spacing w:line="400" w:lineRule="exact"/>
      <w:jc w:val="both"/>
    </w:pPr>
    <w:rPr>
      <w:kern w:val="2"/>
      <w:sz w:val="21"/>
      <w:szCs w:val="21"/>
    </w:rPr>
  </w:style>
  <w:style w:type="paragraph" w:styleId="1">
    <w:name w:val="heading 1"/>
    <w:basedOn w:val="afffa"/>
    <w:next w:val="afffa"/>
    <w:link w:val="10"/>
    <w:qFormat/>
    <w:pPr>
      <w:keepNext/>
      <w:keepLines/>
      <w:spacing w:before="340" w:after="330" w:line="578" w:lineRule="auto"/>
      <w:outlineLvl w:val="0"/>
    </w:pPr>
    <w:rPr>
      <w:b/>
      <w:bCs/>
      <w:kern w:val="44"/>
      <w:sz w:val="44"/>
      <w:szCs w:val="44"/>
    </w:rPr>
  </w:style>
  <w:style w:type="paragraph" w:styleId="22">
    <w:name w:val="heading 2"/>
    <w:basedOn w:val="afffa"/>
    <w:next w:val="afffa"/>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pPr>
      <w:keepNext/>
      <w:keepLines/>
      <w:spacing w:before="260" w:after="260" w:line="416" w:lineRule="auto"/>
      <w:outlineLvl w:val="2"/>
    </w:pPr>
    <w:rPr>
      <w:b/>
      <w:bCs/>
      <w:sz w:val="32"/>
      <w:szCs w:val="32"/>
    </w:rPr>
  </w:style>
  <w:style w:type="paragraph" w:styleId="4">
    <w:name w:val="heading 4"/>
    <w:basedOn w:val="afffa"/>
    <w:next w:val="afff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pPr>
      <w:keepNext/>
      <w:keepLines/>
      <w:adjustRightInd/>
      <w:spacing w:before="280" w:after="290" w:line="376" w:lineRule="auto"/>
      <w:outlineLvl w:val="4"/>
    </w:pPr>
    <w:rPr>
      <w:b/>
      <w:bCs/>
      <w:sz w:val="28"/>
      <w:szCs w:val="28"/>
    </w:rPr>
  </w:style>
  <w:style w:type="paragraph" w:styleId="6">
    <w:name w:val="heading 6"/>
    <w:basedOn w:val="afffa"/>
    <w:next w:val="afffa"/>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pPr>
      <w:keepNext/>
      <w:keepLines/>
      <w:adjustRightInd/>
      <w:spacing w:before="240" w:after="64" w:line="320" w:lineRule="auto"/>
      <w:outlineLvl w:val="6"/>
    </w:pPr>
    <w:rPr>
      <w:b/>
      <w:bCs/>
      <w:sz w:val="24"/>
      <w:szCs w:val="24"/>
    </w:rPr>
  </w:style>
  <w:style w:type="paragraph" w:styleId="8">
    <w:name w:val="heading 8"/>
    <w:basedOn w:val="afffa"/>
    <w:next w:val="afffa"/>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TOC7">
    <w:name w:val="toc 7"/>
    <w:basedOn w:val="afffa"/>
    <w:next w:val="afffa"/>
    <w:uiPriority w:val="39"/>
    <w:unhideWhenUsed/>
    <w:pPr>
      <w:tabs>
        <w:tab w:val="right" w:leader="dot" w:pos="9344"/>
      </w:tabs>
      <w:spacing w:line="300" w:lineRule="exact"/>
      <w:ind w:left="1259"/>
    </w:pPr>
    <w:rPr>
      <w:rFonts w:ascii="宋体"/>
    </w:rPr>
  </w:style>
  <w:style w:type="paragraph" w:styleId="afffe">
    <w:name w:val="Normal Indent"/>
    <w:basedOn w:val="afffa"/>
    <w:pPr>
      <w:ind w:firstLine="420"/>
    </w:pPr>
  </w:style>
  <w:style w:type="paragraph" w:styleId="affff">
    <w:name w:val="Body Text"/>
    <w:basedOn w:val="afffa"/>
    <w:link w:val="affff0"/>
    <w:pPr>
      <w:spacing w:after="120"/>
    </w:pPr>
  </w:style>
  <w:style w:type="paragraph" w:styleId="TOC5">
    <w:name w:val="toc 5"/>
    <w:basedOn w:val="afffa"/>
    <w:next w:val="afffa"/>
    <w:uiPriority w:val="39"/>
    <w:unhideWhenUsed/>
    <w:pPr>
      <w:ind w:left="839"/>
    </w:pPr>
    <w:rPr>
      <w:rFonts w:ascii="宋体"/>
    </w:rPr>
  </w:style>
  <w:style w:type="paragraph" w:styleId="TOC3">
    <w:name w:val="toc 3"/>
    <w:basedOn w:val="afffa"/>
    <w:next w:val="afffa"/>
    <w:uiPriority w:val="39"/>
    <w:unhideWhenUsed/>
    <w:pPr>
      <w:spacing w:line="300" w:lineRule="exact"/>
      <w:ind w:left="420"/>
    </w:pPr>
    <w:rPr>
      <w:rFonts w:ascii="宋体"/>
    </w:rPr>
  </w:style>
  <w:style w:type="paragraph" w:styleId="affff1">
    <w:name w:val="Balloon Text"/>
    <w:basedOn w:val="afffa"/>
    <w:link w:val="affff2"/>
    <w:uiPriority w:val="99"/>
    <w:semiHidden/>
    <w:unhideWhenUsed/>
    <w:qFormat/>
    <w:rPr>
      <w:sz w:val="18"/>
      <w:szCs w:val="18"/>
    </w:rPr>
  </w:style>
  <w:style w:type="paragraph" w:styleId="affff3">
    <w:name w:val="footer"/>
    <w:basedOn w:val="afffa"/>
    <w:link w:val="affff4"/>
    <w:uiPriority w:val="99"/>
    <w:qFormat/>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a"/>
    <w:link w:val="affff6"/>
    <w:uiPriority w:val="99"/>
    <w:qFormat/>
    <w:pPr>
      <w:tabs>
        <w:tab w:val="center" w:pos="4153"/>
        <w:tab w:val="right" w:pos="8306"/>
      </w:tabs>
      <w:adjustRightInd/>
      <w:snapToGrid w:val="0"/>
      <w:jc w:val="center"/>
    </w:pPr>
    <w:rPr>
      <w:sz w:val="18"/>
      <w:szCs w:val="18"/>
    </w:rPr>
  </w:style>
  <w:style w:type="paragraph" w:styleId="TOC1">
    <w:name w:val="toc 1"/>
    <w:basedOn w:val="afffa"/>
    <w:next w:val="afffa"/>
    <w:uiPriority w:val="39"/>
    <w:unhideWhenUsed/>
    <w:rPr>
      <w:rFonts w:ascii="宋体"/>
    </w:rPr>
  </w:style>
  <w:style w:type="paragraph" w:styleId="TOC4">
    <w:name w:val="toc 4"/>
    <w:basedOn w:val="afffa"/>
    <w:next w:val="afffa"/>
    <w:uiPriority w:val="39"/>
    <w:unhideWhenUsed/>
    <w:pPr>
      <w:tabs>
        <w:tab w:val="right" w:leader="dot" w:pos="9344"/>
      </w:tabs>
      <w:spacing w:line="300" w:lineRule="exact"/>
      <w:ind w:left="629"/>
    </w:pPr>
    <w:rPr>
      <w:rFonts w:ascii="宋体"/>
    </w:rPr>
  </w:style>
  <w:style w:type="paragraph" w:styleId="affff7">
    <w:name w:val="footnote text"/>
    <w:basedOn w:val="afffa"/>
    <w:next w:val="afffa"/>
    <w:link w:val="affff8"/>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a"/>
    <w:next w:val="afffa"/>
    <w:uiPriority w:val="39"/>
    <w:unhideWhenUsed/>
    <w:pPr>
      <w:spacing w:line="300" w:lineRule="exact"/>
      <w:ind w:left="1049"/>
    </w:pPr>
    <w:rPr>
      <w:rFonts w:ascii="宋体"/>
    </w:rPr>
  </w:style>
  <w:style w:type="paragraph" w:styleId="affff9">
    <w:name w:val="table of figures"/>
    <w:basedOn w:val="afffa"/>
    <w:next w:val="afffa"/>
    <w:semiHidden/>
    <w:pPr>
      <w:adjustRightInd/>
      <w:spacing w:line="240" w:lineRule="auto"/>
      <w:jc w:val="left"/>
    </w:pPr>
    <w:rPr>
      <w:szCs w:val="24"/>
    </w:rPr>
  </w:style>
  <w:style w:type="paragraph" w:styleId="TOC2">
    <w:name w:val="toc 2"/>
    <w:basedOn w:val="afffa"/>
    <w:next w:val="afffa"/>
    <w:uiPriority w:val="39"/>
    <w:unhideWhenUsed/>
    <w:qFormat/>
    <w:pPr>
      <w:tabs>
        <w:tab w:val="right" w:leader="dot" w:pos="9344"/>
      </w:tabs>
      <w:spacing w:line="300" w:lineRule="exact"/>
      <w:ind w:left="210"/>
    </w:pPr>
    <w:rPr>
      <w:rFonts w:ascii="宋体"/>
    </w:rPr>
  </w:style>
  <w:style w:type="paragraph" w:styleId="affffa">
    <w:name w:val="Title"/>
    <w:basedOn w:val="afffa"/>
    <w:link w:val="affffb"/>
    <w:qFormat/>
    <w:pPr>
      <w:spacing w:before="240" w:after="60"/>
      <w:jc w:val="center"/>
      <w:outlineLvl w:val="0"/>
    </w:pPr>
    <w:rPr>
      <w:rFonts w:ascii="Arial" w:hAnsi="Arial" w:cs="Arial"/>
      <w:b/>
      <w:bCs/>
      <w:sz w:val="32"/>
      <w:szCs w:val="32"/>
    </w:rPr>
  </w:style>
  <w:style w:type="table" w:styleId="affffc">
    <w:name w:val="Table Grid"/>
    <w:basedOn w:val="afffc"/>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6">
    <w:name w:val="页眉 字符"/>
    <w:link w:val="affff5"/>
    <w:uiPriority w:val="99"/>
    <w:qFormat/>
    <w:rPr>
      <w:rFonts w:ascii="Times New Roman" w:eastAsia="宋体" w:hAnsi="Times New Roman" w:cs="Times New Roman"/>
      <w:sz w:val="18"/>
      <w:szCs w:val="18"/>
    </w:rPr>
  </w:style>
  <w:style w:type="character" w:customStyle="1" w:styleId="affff4">
    <w:name w:val="页脚 字符"/>
    <w:link w:val="affff3"/>
    <w:uiPriority w:val="99"/>
    <w:qFormat/>
    <w:rPr>
      <w:rFonts w:ascii="宋体" w:eastAsia="宋体" w:hAnsi="Times New Roman" w:cs="Times New Roman"/>
      <w:sz w:val="18"/>
      <w:szCs w:val="18"/>
    </w:rPr>
  </w:style>
  <w:style w:type="character" w:customStyle="1" w:styleId="affff2">
    <w:name w:val="批注框文本 字符"/>
    <w:link w:val="affff1"/>
    <w:uiPriority w:val="99"/>
    <w:semiHidden/>
    <w:qFormat/>
    <w:rPr>
      <w:sz w:val="18"/>
      <w:szCs w:val="18"/>
    </w:rPr>
  </w:style>
  <w:style w:type="paragraph" w:styleId="afffff2">
    <w:name w:val="Quote"/>
    <w:basedOn w:val="afffa"/>
    <w:next w:val="afffa"/>
    <w:link w:val="afffff3"/>
    <w:uiPriority w:val="29"/>
    <w:qFormat/>
    <w:rPr>
      <w:i/>
      <w:iCs/>
      <w:color w:val="000000"/>
    </w:rPr>
  </w:style>
  <w:style w:type="character" w:customStyle="1" w:styleId="afffff3">
    <w:name w:val="引用 字符"/>
    <w:link w:val="afffff2"/>
    <w:uiPriority w:val="29"/>
    <w:qFormat/>
    <w:rPr>
      <w:i/>
      <w:iCs/>
      <w:color w:val="000000"/>
    </w:rPr>
  </w:style>
  <w:style w:type="character" w:customStyle="1" w:styleId="affffb">
    <w:name w:val="标题 字符"/>
    <w:link w:val="affffa"/>
    <w:qFormat/>
    <w:rPr>
      <w:rFonts w:ascii="Arial" w:eastAsia="宋体" w:hAnsi="Arial" w:cs="Arial"/>
      <w:b/>
      <w:bCs/>
      <w:sz w:val="32"/>
      <w:szCs w:val="32"/>
    </w:rPr>
  </w:style>
  <w:style w:type="paragraph" w:customStyle="1" w:styleId="afffff4">
    <w:name w:val="标准标志"/>
    <w:next w:val="afffa"/>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a"/>
    <w:pPr>
      <w:spacing w:line="0" w:lineRule="atLeast"/>
    </w:pPr>
    <w:rPr>
      <w:rFonts w:ascii="黑体" w:eastAsia="黑体" w:hAnsi="宋体"/>
    </w:rPr>
  </w:style>
  <w:style w:type="paragraph" w:customStyle="1" w:styleId="afffff9">
    <w:name w:val="标准文件_标准正文"/>
    <w:basedOn w:val="afffa"/>
    <w:next w:val="afffffa"/>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a"/>
    <w:pPr>
      <w:jc w:val="center"/>
    </w:pPr>
    <w:rPr>
      <w:rFonts w:ascii="黑体" w:eastAsia="黑体"/>
      <w:kern w:val="0"/>
      <w:sz w:val="44"/>
    </w:rPr>
  </w:style>
  <w:style w:type="paragraph" w:customStyle="1" w:styleId="afffffd">
    <w:name w:val="标准文件_标准代替"/>
    <w:basedOn w:val="afffa"/>
    <w:next w:val="afffa"/>
    <w:qFormat/>
    <w:pPr>
      <w:spacing w:line="310" w:lineRule="exact"/>
      <w:jc w:val="right"/>
    </w:pPr>
    <w:rPr>
      <w:rFonts w:ascii="宋体" w:hAnsi="宋体"/>
      <w:kern w:val="0"/>
    </w:rPr>
  </w:style>
  <w:style w:type="paragraph" w:customStyle="1" w:styleId="afffffe">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a"/>
    <w:qFormat/>
    <w:pPr>
      <w:jc w:val="left"/>
    </w:pPr>
  </w:style>
  <w:style w:type="paragraph" w:customStyle="1" w:styleId="affffff1">
    <w:name w:val="标准文件_参考文献标题"/>
    <w:basedOn w:val="afffa"/>
    <w:next w:val="afffa"/>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3">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a"/>
    <w:next w:val="afffffd"/>
    <w:pPr>
      <w:spacing w:line="310" w:lineRule="exact"/>
      <w:jc w:val="right"/>
    </w:pPr>
    <w:rPr>
      <w:rFonts w:ascii="黑体" w:eastAsia="黑体"/>
      <w:kern w:val="0"/>
      <w:sz w:val="28"/>
    </w:rPr>
  </w:style>
  <w:style w:type="paragraph" w:customStyle="1" w:styleId="affffff4">
    <w:name w:val="标准文件_封面标准分类号"/>
    <w:basedOn w:val="afffa"/>
    <w:qFormat/>
    <w:rPr>
      <w:rFonts w:ascii="黑体" w:eastAsia="黑体"/>
      <w:b/>
      <w:kern w:val="0"/>
      <w:sz w:val="28"/>
    </w:rPr>
  </w:style>
  <w:style w:type="paragraph" w:customStyle="1" w:styleId="affffff5">
    <w:name w:val="标准文件_封面标准名称"/>
    <w:basedOn w:val="afffa"/>
    <w:qFormat/>
    <w:pPr>
      <w:spacing w:line="240" w:lineRule="auto"/>
      <w:jc w:val="center"/>
    </w:pPr>
    <w:rPr>
      <w:rFonts w:ascii="黑体" w:eastAsia="黑体"/>
      <w:kern w:val="0"/>
      <w:sz w:val="52"/>
    </w:rPr>
  </w:style>
  <w:style w:type="paragraph" w:customStyle="1" w:styleId="affffff6">
    <w:name w:val="标准文件_封面标准英文名称"/>
    <w:basedOn w:val="afffa"/>
    <w:pPr>
      <w:spacing w:line="240" w:lineRule="auto"/>
      <w:jc w:val="center"/>
    </w:pPr>
    <w:rPr>
      <w:rFonts w:ascii="黑体" w:eastAsia="黑体"/>
      <w:b/>
      <w:sz w:val="28"/>
    </w:rPr>
  </w:style>
  <w:style w:type="paragraph" w:customStyle="1" w:styleId="affffff7">
    <w:name w:val="标准文件_封面发布日期"/>
    <w:basedOn w:val="afffa"/>
    <w:qFormat/>
    <w:pPr>
      <w:spacing w:line="310" w:lineRule="exact"/>
    </w:pPr>
    <w:rPr>
      <w:rFonts w:ascii="黑体" w:eastAsia="黑体"/>
      <w:kern w:val="0"/>
      <w:sz w:val="28"/>
    </w:rPr>
  </w:style>
  <w:style w:type="paragraph" w:customStyle="1" w:styleId="affffff8">
    <w:name w:val="标准文件_封面密级"/>
    <w:basedOn w:val="afffa"/>
    <w:rPr>
      <w:rFonts w:eastAsia="黑体"/>
      <w:sz w:val="32"/>
    </w:rPr>
  </w:style>
  <w:style w:type="paragraph" w:customStyle="1" w:styleId="affffff9">
    <w:name w:val="标准文件_封面实施日期"/>
    <w:basedOn w:val="afffa"/>
    <w:qFormat/>
    <w:pPr>
      <w:spacing w:line="310" w:lineRule="exact"/>
      <w:jc w:val="right"/>
    </w:pPr>
    <w:rPr>
      <w:rFonts w:ascii="黑体" w:eastAsia="黑体"/>
      <w:sz w:val="28"/>
    </w:rPr>
  </w:style>
  <w:style w:type="paragraph" w:customStyle="1" w:styleId="affffffa">
    <w:name w:val="标准文件_封面抬头"/>
    <w:basedOn w:val="afffffa"/>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a"/>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4">
    <w:name w:val="标准文件_附录表标题"/>
    <w:next w:val="afffffa"/>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9">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fa"/>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fa"/>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e">
    <w:name w:val="标准文件_附录图标题"/>
    <w:next w:val="afffffa"/>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d">
    <w:name w:val="标准文件_附录五级条标题"/>
    <w:next w:val="afffffa"/>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
    <w:pPr>
      <w:numPr>
        <w:numId w:val="7"/>
      </w:numPr>
      <w:tabs>
        <w:tab w:val="left" w:pos="6406"/>
      </w:tabs>
      <w:spacing w:before="220" w:after="320"/>
      <w:jc w:val="center"/>
      <w:outlineLvl w:val="0"/>
    </w:pPr>
    <w:rPr>
      <w:rFonts w:ascii="黑体" w:eastAsia="黑体" w:hAnsi="Times New Roman"/>
      <w:sz w:val="21"/>
    </w:rPr>
  </w:style>
  <w:style w:type="character" w:customStyle="1" w:styleId="affff0">
    <w:name w:val="正文文本 字符"/>
    <w:link w:val="affff"/>
    <w:rPr>
      <w:rFonts w:ascii="Times New Roman" w:eastAsia="宋体" w:hAnsi="Times New Roman" w:cs="Times New Roman"/>
      <w:szCs w:val="20"/>
    </w:rPr>
  </w:style>
  <w:style w:type="paragraph" w:customStyle="1" w:styleId="affffffc">
    <w:name w:val="标准文件_附录章标题"/>
    <w:next w:val="afffff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pPr>
      <w:ind w:leftChars="200" w:left="488" w:hangingChars="290" w:hanging="289"/>
    </w:pPr>
  </w:style>
  <w:style w:type="paragraph" w:customStyle="1" w:styleId="a6">
    <w:name w:val="标准文件_前言、引言标题"/>
    <w:next w:val="afffa"/>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e">
    <w:name w:val="标准文件_目次、标准名称标题"/>
    <w:basedOn w:val="a6"/>
    <w:next w:val="afffffa"/>
    <w:pPr>
      <w:spacing w:line="460" w:lineRule="exact"/>
    </w:pPr>
  </w:style>
  <w:style w:type="paragraph" w:customStyle="1" w:styleId="afffffff">
    <w:name w:val="标准文件_目录标题"/>
    <w:basedOn w:val="afffa"/>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1">
    <w:name w:val="标准文件_破折号列项（二级）"/>
    <w:basedOn w:val="af1"/>
    <w:pPr>
      <w:numPr>
        <w:numId w:val="10"/>
      </w:numPr>
      <w:ind w:left="0" w:firstLine="200"/>
    </w:pPr>
  </w:style>
  <w:style w:type="paragraph" w:customStyle="1" w:styleId="afff4">
    <w:name w:val="标准文件_三级条标题"/>
    <w:basedOn w:val="afff3"/>
    <w:next w:val="afffffa"/>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a"/>
    <w:pPr>
      <w:adjustRightInd/>
      <w:spacing w:line="240" w:lineRule="auto"/>
      <w:ind w:firstLineChars="200" w:firstLine="200"/>
    </w:pPr>
    <w:rPr>
      <w:sz w:val="18"/>
      <w:szCs w:val="24"/>
    </w:rPr>
  </w:style>
  <w:style w:type="paragraph" w:customStyle="1" w:styleId="affe">
    <w:name w:val="标准文件_数字编号列项"/>
    <w:pPr>
      <w:numPr>
        <w:numId w:val="11"/>
      </w:numPr>
      <w:jc w:val="both"/>
    </w:pPr>
    <w:rPr>
      <w:rFonts w:ascii="宋体" w:hAnsi="宋体"/>
      <w:sz w:val="21"/>
    </w:rPr>
  </w:style>
  <w:style w:type="paragraph" w:customStyle="1" w:styleId="afff5">
    <w:name w:val="标准文件_四级条标题"/>
    <w:next w:val="afffffa"/>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8">
    <w:name w:val="脚注文本 字符"/>
    <w:link w:val="affff7"/>
    <w:semiHidden/>
    <w:rPr>
      <w:rFonts w:ascii="宋体" w:eastAsia="宋体" w:hAnsi="Times New Roman" w:cs="Times New Roman"/>
      <w:sz w:val="18"/>
      <w:szCs w:val="18"/>
    </w:rPr>
  </w:style>
  <w:style w:type="paragraph" w:customStyle="1" w:styleId="afffffff1">
    <w:name w:val="标准文件_条文脚注"/>
    <w:basedOn w:val="affff7"/>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a"/>
    <w:pPr>
      <w:numPr>
        <w:numId w:val="12"/>
      </w:numPr>
      <w:spacing w:line="240" w:lineRule="auto"/>
      <w:jc w:val="left"/>
    </w:pPr>
    <w:rPr>
      <w:rFonts w:ascii="宋体" w:hAnsi="宋体"/>
      <w:sz w:val="18"/>
    </w:rPr>
  </w:style>
  <w:style w:type="character" w:customStyle="1" w:styleId="afffffff2">
    <w:name w:val="标准文件_图表脚注内容"/>
    <w:rPr>
      <w:rFonts w:ascii="宋体" w:eastAsia="宋体" w:hAnsi="宋体" w:cs="Times New Roman"/>
      <w:spacing w:val="0"/>
      <w:sz w:val="18"/>
      <w:vertAlign w:val="superscript"/>
    </w:rPr>
  </w:style>
  <w:style w:type="paragraph" w:customStyle="1" w:styleId="afff6">
    <w:name w:val="标准文件_五级条标题"/>
    <w:next w:val="afffffa"/>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fa"/>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fa"/>
    <w:pPr>
      <w:numPr>
        <w:ilvl w:val="2"/>
      </w:numPr>
      <w:spacing w:beforeLines="50" w:before="50" w:afterLines="50" w:after="50"/>
      <w:outlineLvl w:val="1"/>
    </w:pPr>
  </w:style>
  <w:style w:type="paragraph" w:customStyle="1" w:styleId="afffffff3">
    <w:name w:val="标准文件_一致程度"/>
    <w:basedOn w:val="afffa"/>
    <w:pPr>
      <w:spacing w:line="440" w:lineRule="exact"/>
      <w:jc w:val="center"/>
    </w:pPr>
    <w:rPr>
      <w:sz w:val="28"/>
    </w:rPr>
  </w:style>
  <w:style w:type="paragraph" w:customStyle="1" w:styleId="afffffff4">
    <w:name w:val="标准文件_引言标题"/>
    <w:next w:val="afffa"/>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b">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a"/>
    <w:next w:val="afffffa"/>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a"/>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a"/>
    <w:next w:val="afffff9"/>
    <w:pPr>
      <w:tabs>
        <w:tab w:val="center" w:pos="4678"/>
        <w:tab w:val="right" w:leader="middleDot" w:pos="9356"/>
      </w:tabs>
      <w:spacing w:line="240" w:lineRule="auto"/>
    </w:pPr>
    <w:rPr>
      <w:rFonts w:ascii="宋体" w:hAnsi="宋体"/>
    </w:rPr>
  </w:style>
  <w:style w:type="paragraph" w:customStyle="1" w:styleId="aff2">
    <w:name w:val="标准文件_正文图标题"/>
    <w:next w:val="afffffa"/>
    <w:pPr>
      <w:numPr>
        <w:numId w:val="17"/>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fa"/>
    <w:pPr>
      <w:numPr>
        <w:numId w:val="18"/>
      </w:numPr>
      <w:jc w:val="center"/>
    </w:pPr>
    <w:rPr>
      <w:rFonts w:ascii="黑体" w:eastAsia="黑体" w:hAnsi="Times New Roman"/>
      <w:sz w:val="21"/>
    </w:rPr>
  </w:style>
  <w:style w:type="paragraph" w:customStyle="1" w:styleId="aff0">
    <w:name w:val="标准文件_正文英文图标题"/>
    <w:next w:val="afffffa"/>
    <w:pPr>
      <w:numPr>
        <w:numId w:val="19"/>
      </w:numPr>
      <w:jc w:val="center"/>
    </w:pPr>
    <w:rPr>
      <w:rFonts w:ascii="黑体" w:eastAsia="黑体" w:hAnsi="Times New Roman"/>
      <w:sz w:val="21"/>
    </w:rPr>
  </w:style>
  <w:style w:type="paragraph" w:customStyle="1" w:styleId="afc">
    <w:name w:val="标准文件_编号列项（三级）"/>
    <w:pPr>
      <w:numPr>
        <w:ilvl w:val="2"/>
        <w:numId w:val="13"/>
      </w:numPr>
    </w:pPr>
    <w:rPr>
      <w:rFonts w:ascii="宋体" w:hAnsi="Times New Roman"/>
      <w:sz w:val="21"/>
    </w:rPr>
  </w:style>
  <w:style w:type="paragraph" w:customStyle="1" w:styleId="a1">
    <w:name w:val="二级无标题条"/>
    <w:basedOn w:val="afffa"/>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a"/>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a"/>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7">
    <w:name w:val="标准文件_一级项"/>
    <w:pPr>
      <w:numPr>
        <w:numId w:val="21"/>
      </w:numPr>
    </w:pPr>
    <w:rPr>
      <w:rFonts w:ascii="宋体" w:hAnsi="Times New Roman"/>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a"/>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hAnsi="Times New Roman"/>
      <w:sz w:val="18"/>
    </w:rPr>
  </w:style>
  <w:style w:type="paragraph" w:customStyle="1" w:styleId="afff9">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a"/>
    <w:next w:val="afffa"/>
    <w:semiHidden/>
    <w:pPr>
      <w:adjustRightInd/>
      <w:spacing w:line="240" w:lineRule="auto"/>
      <w:jc w:val="left"/>
    </w:pPr>
    <w:rPr>
      <w:bCs/>
      <w:iCs/>
    </w:rPr>
  </w:style>
  <w:style w:type="paragraph" w:customStyle="1" w:styleId="31">
    <w:name w:val="目录 31"/>
    <w:basedOn w:val="afffa"/>
    <w:next w:val="afffa"/>
    <w:semiHidden/>
    <w:pPr>
      <w:spacing w:line="240" w:lineRule="auto"/>
    </w:pPr>
    <w:rPr>
      <w:rFonts w:ascii="宋体" w:hAnsi="宋体"/>
      <w:iCs/>
    </w:rPr>
  </w:style>
  <w:style w:type="paragraph" w:customStyle="1" w:styleId="41">
    <w:name w:val="目录 41"/>
    <w:basedOn w:val="afffa"/>
    <w:next w:val="afffa"/>
    <w:semiHidden/>
    <w:pPr>
      <w:adjustRightInd/>
      <w:spacing w:line="240" w:lineRule="auto"/>
      <w:jc w:val="left"/>
    </w:pPr>
  </w:style>
  <w:style w:type="paragraph" w:customStyle="1" w:styleId="51">
    <w:name w:val="目录 51"/>
    <w:basedOn w:val="afffa"/>
    <w:next w:val="afffa"/>
    <w:semiHidden/>
    <w:pPr>
      <w:spacing w:line="240" w:lineRule="auto"/>
    </w:pPr>
    <w:rPr>
      <w:rFonts w:ascii="宋体" w:hAnsi="宋体"/>
    </w:rPr>
  </w:style>
  <w:style w:type="paragraph" w:customStyle="1" w:styleId="61">
    <w:name w:val="目录 61"/>
    <w:basedOn w:val="afffa"/>
    <w:next w:val="afffa"/>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f0">
    <w:name w:val="前言标题"/>
    <w:next w:val="afffa"/>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a"/>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a"/>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f2"/>
    <w:qFormat/>
    <w:pPr>
      <w:spacing w:beforeLines="0" w:before="0" w:afterLines="0" w:after="0"/>
      <w:outlineLvl w:val="9"/>
    </w:pPr>
    <w:rPr>
      <w:rFonts w:ascii="宋体" w:eastAsia="宋体"/>
    </w:rPr>
  </w:style>
  <w:style w:type="paragraph" w:customStyle="1" w:styleId="afffffffff4">
    <w:name w:val="标准文件_五级无标题"/>
    <w:basedOn w:val="afff6"/>
    <w:qFormat/>
    <w:pPr>
      <w:spacing w:beforeLines="0" w:before="0" w:afterLines="0" w:after="0"/>
      <w:outlineLvl w:val="9"/>
    </w:pPr>
    <w:rPr>
      <w:rFonts w:ascii="宋体" w:eastAsia="宋体"/>
    </w:rPr>
  </w:style>
  <w:style w:type="paragraph" w:customStyle="1" w:styleId="afffffffff5">
    <w:name w:val="标准文件_三级无标题"/>
    <w:basedOn w:val="afff4"/>
    <w:qFormat/>
    <w:pPr>
      <w:spacing w:beforeLines="0" w:before="0" w:afterLines="0" w:after="0"/>
      <w:outlineLvl w:val="9"/>
    </w:pPr>
    <w:rPr>
      <w:rFonts w:ascii="宋体" w:eastAsia="宋体"/>
    </w:rPr>
  </w:style>
  <w:style w:type="paragraph" w:customStyle="1" w:styleId="afffffffff6">
    <w:name w:val="标准文件_二级无标题"/>
    <w:basedOn w:val="afff3"/>
    <w:qFormat/>
    <w:pPr>
      <w:spacing w:beforeLines="0" w:before="0" w:afterLines="0" w:after="0"/>
      <w:outlineLvl w:val="9"/>
    </w:pPr>
    <w:rPr>
      <w:rFonts w:ascii="宋体" w:eastAsia="宋体"/>
    </w:rPr>
  </w:style>
  <w:style w:type="paragraph" w:customStyle="1" w:styleId="afffffffff7">
    <w:name w:val="标准_四级无标题"/>
    <w:basedOn w:val="afff5"/>
    <w:next w:val="afffffa"/>
    <w:qFormat/>
    <w:rPr>
      <w:rFonts w:eastAsia="宋体"/>
    </w:rPr>
  </w:style>
  <w:style w:type="paragraph" w:customStyle="1" w:styleId="afffffffff8">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8"/>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8">
    <w:name w:val="标准文件_三级项"/>
    <w:basedOn w:val="afffa"/>
    <w:pPr>
      <w:numPr>
        <w:ilvl w:val="2"/>
        <w:numId w:val="21"/>
      </w:numPr>
      <w:spacing w:line="-300" w:lineRule="auto"/>
    </w:pPr>
    <w:rPr>
      <w:rFonts w:ascii="Times New Roman" w:hAnsi="Times New Roman"/>
    </w:rPr>
  </w:style>
  <w:style w:type="paragraph" w:customStyle="1" w:styleId="afff">
    <w:name w:val="图表脚注说明"/>
    <w:basedOn w:val="afffa"/>
    <w:next w:val="afffffa"/>
    <w:qFormat/>
    <w:pPr>
      <w:numPr>
        <w:numId w:val="25"/>
      </w:numPr>
      <w:adjustRightInd/>
      <w:spacing w:line="240" w:lineRule="auto"/>
      <w:ind w:left="783"/>
    </w:pPr>
    <w:rPr>
      <w:rFonts w:ascii="宋体" w:hAnsi="Times New Roman"/>
      <w:sz w:val="18"/>
      <w:szCs w:val="18"/>
    </w:rPr>
  </w:style>
  <w:style w:type="paragraph" w:customStyle="1" w:styleId="afa">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7">
    <w:name w:val="标准文件_注："/>
    <w:next w:val="afffffa"/>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f">
    <w:name w:val="标准文件_示例×："/>
    <w:basedOn w:val="afffa"/>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b"/>
    <w:uiPriority w:val="99"/>
    <w:semiHidden/>
    <w:rPr>
      <w:color w:val="808080"/>
    </w:rPr>
  </w:style>
  <w:style w:type="paragraph" w:customStyle="1" w:styleId="2">
    <w:name w:val="标准文件_二级项2"/>
    <w:basedOn w:val="afffffa"/>
    <w:qFormat/>
    <w:pPr>
      <w:numPr>
        <w:ilvl w:val="1"/>
        <w:numId w:val="21"/>
      </w:numPr>
      <w:ind w:left="1271" w:firstLineChars="0" w:hanging="420"/>
    </w:pPr>
  </w:style>
  <w:style w:type="paragraph" w:customStyle="1" w:styleId="21">
    <w:name w:val="标准文件_三级项2"/>
    <w:basedOn w:val="afffffa"/>
    <w:qFormat/>
    <w:pPr>
      <w:numPr>
        <w:numId w:val="30"/>
      </w:numPr>
      <w:spacing w:line="300" w:lineRule="exact"/>
      <w:ind w:left="1276" w:firstLineChars="0" w:hanging="425"/>
    </w:pPr>
    <w:rPr>
      <w:rFonts w:ascii="Times New Roman"/>
    </w:rPr>
  </w:style>
  <w:style w:type="paragraph" w:customStyle="1" w:styleId="20">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b"/>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a"/>
    <w:pPr>
      <w:spacing w:beforeLines="0" w:before="0" w:afterLines="0" w:after="0" w:line="276" w:lineRule="auto"/>
      <w:outlineLvl w:val="9"/>
    </w:pPr>
    <w:rPr>
      <w:rFonts w:ascii="宋体" w:eastAsia="宋体"/>
    </w:rPr>
  </w:style>
  <w:style w:type="paragraph" w:customStyle="1" w:styleId="afffffffffff">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next w:val="afffffa"/>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e">
    <w:name w:val="发布"/>
    <w:basedOn w:val="afffb"/>
    <w:rPr>
      <w:rFonts w:ascii="黑体" w:eastAsia="黑体"/>
      <w:spacing w:val="85"/>
      <w:w w:val="100"/>
      <w:position w:val="3"/>
      <w:sz w:val="28"/>
      <w:szCs w:val="28"/>
    </w:rPr>
  </w:style>
  <w:style w:type="character" w:customStyle="1" w:styleId="CharChar">
    <w:name w:val="段 Char Char"/>
    <w:link w:val="affffffffffff"/>
    <w:locked/>
    <w:rPr>
      <w:rFonts w:ascii="宋体" w:hAnsi="宋体"/>
      <w:sz w:val="21"/>
    </w:rPr>
  </w:style>
  <w:style w:type="paragraph" w:customStyle="1" w:styleId="affffffffffff">
    <w:name w:val="段"/>
    <w:link w:val="CharChar"/>
    <w:qFormat/>
    <w:pPr>
      <w:tabs>
        <w:tab w:val="center" w:pos="4201"/>
        <w:tab w:val="right" w:leader="dot" w:pos="9298"/>
      </w:tabs>
      <w:autoSpaceDE w:val="0"/>
      <w:autoSpaceDN w:val="0"/>
      <w:ind w:firstLineChars="200" w:firstLine="420"/>
      <w:jc w:val="both"/>
    </w:pPr>
    <w:rPr>
      <w:rFonts w:ascii="宋体" w:hAnsi="宋体"/>
      <w:sz w:val="21"/>
    </w:rPr>
  </w:style>
  <w:style w:type="paragraph" w:customStyle="1" w:styleId="123">
    <w:name w:val="123"/>
    <w:basedOn w:val="afffa"/>
    <w:qFormat/>
    <w:pPr>
      <w:adjustRightInd/>
      <w:spacing w:line="240" w:lineRule="auto"/>
    </w:pPr>
    <w:rPr>
      <w:rFonts w:ascii="Times New Roman" w:eastAsia="黑体" w:hAnsi="Times New Roman"/>
      <w:szCs w:val="24"/>
    </w:rPr>
  </w:style>
  <w:style w:type="paragraph" w:customStyle="1" w:styleId="af3">
    <w:name w:val="一级条标题"/>
    <w:next w:val="afffa"/>
    <w:qFormat/>
    <w:pPr>
      <w:numPr>
        <w:ilvl w:val="1"/>
        <w:numId w:val="32"/>
      </w:numPr>
      <w:spacing w:beforeLines="50" w:afterLines="50"/>
      <w:ind w:left="568"/>
      <w:outlineLvl w:val="2"/>
    </w:pPr>
    <w:rPr>
      <w:rFonts w:ascii="黑体" w:eastAsia="黑体" w:hAnsi="Times New Roman"/>
      <w:sz w:val="21"/>
      <w:szCs w:val="21"/>
    </w:rPr>
  </w:style>
  <w:style w:type="paragraph" w:customStyle="1" w:styleId="af2">
    <w:name w:val="章标题"/>
    <w:next w:val="afffa"/>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a"/>
    <w:qFormat/>
    <w:pPr>
      <w:numPr>
        <w:ilvl w:val="2"/>
      </w:numPr>
      <w:ind w:left="852"/>
      <w:outlineLvl w:val="3"/>
    </w:pPr>
  </w:style>
  <w:style w:type="paragraph" w:customStyle="1" w:styleId="af5">
    <w:name w:val="四级条标题"/>
    <w:basedOn w:val="afffa"/>
    <w:next w:val="afffa"/>
    <w:qFormat/>
    <w:pPr>
      <w:widowControl/>
      <w:numPr>
        <w:ilvl w:val="4"/>
        <w:numId w:val="32"/>
      </w:numPr>
      <w:adjustRightInd/>
      <w:spacing w:beforeLines="50" w:afterLines="50" w:line="240" w:lineRule="auto"/>
      <w:jc w:val="left"/>
      <w:outlineLvl w:val="5"/>
    </w:pPr>
    <w:rPr>
      <w:rFonts w:ascii="黑体" w:eastAsia="黑体" w:hAnsi="Times New Roman"/>
      <w:kern w:val="0"/>
    </w:rPr>
  </w:style>
  <w:style w:type="paragraph" w:customStyle="1" w:styleId="af6">
    <w:name w:val="五级条标题"/>
    <w:basedOn w:val="af5"/>
    <w:next w:val="afffa"/>
    <w:qFormat/>
    <w:pPr>
      <w:numPr>
        <w:ilvl w:val="5"/>
      </w:numPr>
      <w:outlineLvl w:val="6"/>
    </w:pPr>
  </w:style>
  <w:style w:type="character" w:customStyle="1" w:styleId="Char0">
    <w:name w:val="段 Char"/>
    <w:qFormat/>
    <w:locked/>
    <w:rPr>
      <w:rFonts w:ascii="宋体" w:hAnsi="宋体"/>
      <w:sz w:val="21"/>
    </w:rPr>
  </w:style>
  <w:style w:type="paragraph" w:styleId="affffffffffff0">
    <w:name w:val="List Paragraph"/>
    <w:basedOn w:val="afffa"/>
    <w:uiPriority w:val="34"/>
    <w:qFormat/>
    <w:pPr>
      <w:adjustRightInd/>
      <w:spacing w:line="240" w:lineRule="auto"/>
      <w:ind w:firstLineChars="200" w:firstLine="420"/>
    </w:pPr>
    <w:rPr>
      <w:szCs w:val="22"/>
    </w:rPr>
  </w:style>
  <w:style w:type="paragraph" w:customStyle="1" w:styleId="affffffffffff1">
    <w:name w:val="注："/>
    <w:next w:val="affffffffffff"/>
    <w:qFormat/>
    <w:pPr>
      <w:widowControl w:val="0"/>
      <w:autoSpaceDE w:val="0"/>
      <w:autoSpaceDN w:val="0"/>
      <w:ind w:left="726" w:hanging="363"/>
      <w:jc w:val="both"/>
    </w:pPr>
    <w:rPr>
      <w:rFonts w:ascii="宋体" w:hAnsi="Times New Roman"/>
      <w:sz w:val="18"/>
      <w:szCs w:val="18"/>
    </w:rPr>
  </w:style>
  <w:style w:type="paragraph" w:styleId="affffffffffff2">
    <w:name w:val="Revision"/>
    <w:hidden/>
    <w:uiPriority w:val="99"/>
    <w:semiHidden/>
    <w:rsid w:val="00501E4B"/>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jp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08854B0CB5941BD9F5997C8C34AA702"/>
        <w:category>
          <w:name w:val="常规"/>
          <w:gallery w:val="placeholder"/>
        </w:category>
        <w:types>
          <w:type w:val="bbPlcHdr"/>
        </w:types>
        <w:behaviors>
          <w:behavior w:val="content"/>
        </w:behaviors>
        <w:guid w:val="{34A21B6E-5E55-4DCD-A349-8114F1FEC409}"/>
      </w:docPartPr>
      <w:docPartBody>
        <w:p w:rsidR="008426A0" w:rsidRDefault="008426A0">
          <w:pPr>
            <w:pStyle w:val="E08854B0CB5941BD9F5997C8C34AA702"/>
          </w:pPr>
          <w:r>
            <w:rPr>
              <w:rStyle w:val="a3"/>
              <w:rFonts w:hint="eastAsia"/>
            </w:rPr>
            <w:t>单击或点击此处输入文字。</w:t>
          </w:r>
        </w:p>
      </w:docPartBody>
    </w:docPart>
    <w:docPart>
      <w:docPartPr>
        <w:name w:val="D1E7000923F04688AE0E63128F7B8E2B"/>
        <w:category>
          <w:name w:val="常规"/>
          <w:gallery w:val="placeholder"/>
        </w:category>
        <w:types>
          <w:type w:val="bbPlcHdr"/>
        </w:types>
        <w:behaviors>
          <w:behavior w:val="content"/>
        </w:behaviors>
        <w:guid w:val="{65D3222D-9AD4-4009-AD99-8A0D7A6FE959}"/>
      </w:docPartPr>
      <w:docPartBody>
        <w:p w:rsidR="008426A0" w:rsidRDefault="008426A0">
          <w:pPr>
            <w:pStyle w:val="D1E7000923F04688AE0E63128F7B8E2B"/>
          </w:pPr>
          <w:r>
            <w:rPr>
              <w:rStyle w:val="a3"/>
              <w:rFonts w:hint="eastAsia"/>
            </w:rPr>
            <w:t>选择一项。</w:t>
          </w:r>
        </w:p>
      </w:docPartBody>
    </w:docPart>
    <w:docPart>
      <w:docPartPr>
        <w:name w:val="EB0E97C6EB6840EE83ED399BB1D860A7"/>
        <w:category>
          <w:name w:val="常规"/>
          <w:gallery w:val="placeholder"/>
        </w:category>
        <w:types>
          <w:type w:val="bbPlcHdr"/>
        </w:types>
        <w:behaviors>
          <w:behavior w:val="content"/>
        </w:behaviors>
        <w:guid w:val="{1161502B-42B2-453A-8A5C-DAF494C3F452}"/>
      </w:docPartPr>
      <w:docPartBody>
        <w:p w:rsidR="008426A0" w:rsidRDefault="008426A0">
          <w:pPr>
            <w:pStyle w:val="EB0E97C6EB6840EE83ED399BB1D860A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63F7"/>
    <w:rsid w:val="00053993"/>
    <w:rsid w:val="00070B70"/>
    <w:rsid w:val="00102806"/>
    <w:rsid w:val="002C5A2E"/>
    <w:rsid w:val="007E63F7"/>
    <w:rsid w:val="00810F31"/>
    <w:rsid w:val="008426A0"/>
    <w:rsid w:val="00FD1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08854B0CB5941BD9F5997C8C34AA702">
    <w:name w:val="E08854B0CB5941BD9F5997C8C34AA702"/>
    <w:qFormat/>
    <w:pPr>
      <w:widowControl w:val="0"/>
      <w:jc w:val="both"/>
    </w:pPr>
    <w:rPr>
      <w:kern w:val="2"/>
      <w:sz w:val="21"/>
      <w:szCs w:val="22"/>
    </w:rPr>
  </w:style>
  <w:style w:type="paragraph" w:customStyle="1" w:styleId="D1E7000923F04688AE0E63128F7B8E2B">
    <w:name w:val="D1E7000923F04688AE0E63128F7B8E2B"/>
    <w:pPr>
      <w:widowControl w:val="0"/>
      <w:jc w:val="both"/>
    </w:pPr>
    <w:rPr>
      <w:kern w:val="2"/>
      <w:sz w:val="21"/>
      <w:szCs w:val="22"/>
    </w:rPr>
  </w:style>
  <w:style w:type="paragraph" w:customStyle="1" w:styleId="EB0E97C6EB6840EE83ED399BB1D860A7">
    <w:name w:val="EB0E97C6EB6840EE83ED399BB1D860A7"/>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89C5F24-0BD3-441D-8540-0CEEF4EFE52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Template>
  <TotalTime>79</TotalTime>
  <Pages>6</Pages>
  <Words>594</Words>
  <Characters>3386</Characters>
  <Application>Microsoft Office Word</Application>
  <DocSecurity>0</DocSecurity>
  <Lines>28</Lines>
  <Paragraphs>7</Paragraphs>
  <ScaleCrop>false</ScaleCrop>
  <Company>PCMI</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KANGWEI</dc:creator>
  <dc:description>&lt;config cover="true" show_menu="true" version="1.0.0" doctype="SDKXY"&gt;_x000d_
&lt;/config&gt;</dc:description>
  <cp:lastModifiedBy>KANGWEI</cp:lastModifiedBy>
  <cp:revision>12</cp:revision>
  <cp:lastPrinted>2021-02-02T08:18:00Z</cp:lastPrinted>
  <dcterms:created xsi:type="dcterms:W3CDTF">2021-09-28T07:12:00Z</dcterms:created>
  <dcterms:modified xsi:type="dcterms:W3CDTF">2021-12-03T02:42:00Z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2052-11.1.0.11045</vt:lpwstr>
  </property>
  <property fmtid="{D5CDD505-2E9C-101B-9397-08002B2CF9AE}" pid="15" name="ICV">
    <vt:lpwstr>6C6E83F959534B459A343025FC9A746A</vt:lpwstr>
  </property>
</Properties>
</file>